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37C" w:rsidRDefault="00A3637C" w:rsidP="00A3637C">
      <w:pPr>
        <w:jc w:val="center"/>
        <w:rPr>
          <w:b/>
          <w:sz w:val="24"/>
          <w:szCs w:val="24"/>
        </w:rPr>
      </w:pPr>
    </w:p>
    <w:p w:rsidR="00A3637C" w:rsidRDefault="003347CF" w:rsidP="00A3637C">
      <w:pPr>
        <w:jc w:val="center"/>
        <w:rPr>
          <w:sz w:val="24"/>
          <w:szCs w:val="24"/>
        </w:rPr>
      </w:pPr>
      <w:r>
        <w:rPr>
          <w:b/>
          <w:sz w:val="24"/>
          <w:szCs w:val="24"/>
        </w:rPr>
        <w:t>EL ALCALDE</w:t>
      </w:r>
      <w:r w:rsidR="00A3637C">
        <w:rPr>
          <w:b/>
          <w:sz w:val="24"/>
          <w:szCs w:val="24"/>
        </w:rPr>
        <w:t xml:space="preserve"> MAYOR DE BOGOTÁ, D. C.</w:t>
      </w:r>
    </w:p>
    <w:p w:rsidR="00A3637C" w:rsidRDefault="00A3637C" w:rsidP="00A3637C">
      <w:pPr>
        <w:jc w:val="center"/>
        <w:rPr>
          <w:sz w:val="24"/>
          <w:szCs w:val="24"/>
        </w:rPr>
      </w:pPr>
    </w:p>
    <w:p w:rsidR="00A3637C" w:rsidRDefault="003347CF" w:rsidP="00996772">
      <w:pPr>
        <w:shd w:val="clear" w:color="auto" w:fill="FFFFFF"/>
        <w:ind w:left="-426" w:right="-426"/>
        <w:jc w:val="center"/>
        <w:rPr>
          <w:sz w:val="24"/>
          <w:szCs w:val="24"/>
        </w:rPr>
      </w:pPr>
      <w:r w:rsidRPr="003347CF">
        <w:rPr>
          <w:sz w:val="24"/>
          <w:szCs w:val="24"/>
        </w:rPr>
        <w:t>En uso de sus facultades legales</w:t>
      </w:r>
      <w:r>
        <w:rPr>
          <w:sz w:val="24"/>
          <w:szCs w:val="24"/>
        </w:rPr>
        <w:t xml:space="preserve">, </w:t>
      </w:r>
      <w:r w:rsidRPr="003347CF">
        <w:rPr>
          <w:sz w:val="24"/>
          <w:szCs w:val="24"/>
        </w:rPr>
        <w:t>en especial las conferidas por los numerales 1 y 4 del artículo 38 del Decreto Ley 1421 de 1993, el artículo 2 del Decreto Nacional 1855 de 1971 y el artículo 76 de</w:t>
      </w:r>
      <w:r>
        <w:rPr>
          <w:sz w:val="24"/>
          <w:szCs w:val="24"/>
        </w:rPr>
        <w:t>l Acuerdo Distrital 645 de 2016</w:t>
      </w:r>
      <w:r w:rsidRPr="003347CF">
        <w:rPr>
          <w:sz w:val="24"/>
          <w:szCs w:val="24"/>
        </w:rPr>
        <w:t xml:space="preserve"> y,</w:t>
      </w:r>
      <w:bookmarkStart w:id="0" w:name="_GoBack"/>
      <w:bookmarkEnd w:id="0"/>
    </w:p>
    <w:p w:rsidR="00A3637C" w:rsidRDefault="00A3637C" w:rsidP="00A3637C">
      <w:pPr>
        <w:jc w:val="center"/>
        <w:rPr>
          <w:b/>
          <w:sz w:val="24"/>
          <w:szCs w:val="24"/>
        </w:rPr>
      </w:pPr>
    </w:p>
    <w:p w:rsidR="00A3637C" w:rsidRDefault="00A3637C" w:rsidP="00A3637C">
      <w:pPr>
        <w:jc w:val="center"/>
        <w:rPr>
          <w:sz w:val="24"/>
          <w:szCs w:val="24"/>
        </w:rPr>
      </w:pPr>
      <w:r>
        <w:rPr>
          <w:b/>
          <w:sz w:val="24"/>
          <w:szCs w:val="24"/>
        </w:rPr>
        <w:t xml:space="preserve">CONSIDERANDO: </w:t>
      </w:r>
    </w:p>
    <w:p w:rsidR="003347CF" w:rsidRDefault="003347CF" w:rsidP="003347CF">
      <w:pPr>
        <w:shd w:val="clear" w:color="auto" w:fill="FFFFFF"/>
        <w:ind w:right="-426"/>
        <w:jc w:val="both"/>
        <w:rPr>
          <w:sz w:val="24"/>
          <w:szCs w:val="24"/>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t xml:space="preserve">Que el artículo 1 del Decreto Nacional 1855 de 1971 establece que: </w:t>
      </w:r>
      <w:r w:rsidRPr="00996772">
        <w:rPr>
          <w:bCs/>
          <w:i/>
          <w:color w:val="000000"/>
          <w:sz w:val="24"/>
          <w:szCs w:val="22"/>
          <w:lang w:val="es-CO" w:eastAsia="es-CO"/>
        </w:rPr>
        <w:t>"(...) se entiende por aparcadero o garaje público el local urbano que con ánimo de lucro se destina a guardar o arrendar espacios para depositar vehículos automotores dentro de una edificación construida para tal fin o dentro de un predio habilitado con el mismo objeto."</w:t>
      </w:r>
    </w:p>
    <w:p w:rsidR="003347CF" w:rsidRPr="00996772" w:rsidRDefault="003347CF" w:rsidP="003347CF">
      <w:pPr>
        <w:shd w:val="clear" w:color="auto" w:fill="FFFFFF"/>
        <w:ind w:right="-426"/>
        <w:jc w:val="both"/>
        <w:rPr>
          <w:bCs/>
          <w:color w:val="000000"/>
          <w:sz w:val="24"/>
          <w:szCs w:val="22"/>
          <w:lang w:val="es-CO" w:eastAsia="es-CO"/>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t>Que el artículo 2 ídem, señala que corresponde a los Alcaldes reglamentar el funcionamiento de los garajes o aparcaderos, así como señalar en que zonas pueden operar y fijar los precios o tarifas máximas que pueden cobrar por la prestación de sus servicios.</w:t>
      </w:r>
    </w:p>
    <w:p w:rsidR="003347CF" w:rsidRPr="00996772" w:rsidRDefault="003347CF" w:rsidP="003347CF">
      <w:pPr>
        <w:shd w:val="clear" w:color="auto" w:fill="FFFFFF"/>
        <w:ind w:right="-426"/>
        <w:jc w:val="both"/>
        <w:rPr>
          <w:bCs/>
          <w:color w:val="000000"/>
          <w:sz w:val="24"/>
          <w:szCs w:val="22"/>
          <w:lang w:val="es-CO" w:eastAsia="es-CO"/>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t xml:space="preserve">Que el artículo 89 de la Ley 1801 de 2016 </w:t>
      </w:r>
      <w:r w:rsidRPr="00996772">
        <w:rPr>
          <w:bCs/>
          <w:i/>
          <w:color w:val="000000"/>
          <w:sz w:val="24"/>
          <w:szCs w:val="22"/>
          <w:lang w:val="es-CO" w:eastAsia="es-CO"/>
        </w:rPr>
        <w:t>"Por la cual se expide el Código Nacional de Policía y Convivencia"</w:t>
      </w:r>
      <w:r w:rsidRPr="00996772">
        <w:rPr>
          <w:bCs/>
          <w:color w:val="000000"/>
          <w:sz w:val="24"/>
          <w:szCs w:val="22"/>
          <w:lang w:val="es-CO" w:eastAsia="es-CO"/>
        </w:rPr>
        <w:t xml:space="preserve">, define los estacionamiento o parqueaderos como </w:t>
      </w:r>
      <w:r w:rsidRPr="00996772">
        <w:rPr>
          <w:bCs/>
          <w:i/>
          <w:color w:val="000000"/>
          <w:sz w:val="24"/>
          <w:szCs w:val="22"/>
          <w:lang w:val="es-CO" w:eastAsia="es-CO"/>
        </w:rPr>
        <w:t>"los bienes públicos o privados, destinados y autorizados de acuerdo con lo dispuesto en las normas de uso del suelo y en las normas que lo desarrollen o complementen por los concejos distritales o municipales, para el estacionamiento y depósito temporal de vehículos automotores, motos o bicicletas, a título oneroso o gratuito."</w:t>
      </w:r>
    </w:p>
    <w:p w:rsidR="003347CF" w:rsidRPr="00996772" w:rsidRDefault="003347CF" w:rsidP="003347CF">
      <w:pPr>
        <w:shd w:val="clear" w:color="auto" w:fill="FFFFFF"/>
        <w:ind w:right="-426"/>
        <w:jc w:val="both"/>
        <w:rPr>
          <w:bCs/>
          <w:color w:val="000000"/>
          <w:sz w:val="24"/>
          <w:szCs w:val="22"/>
          <w:lang w:val="es-CO" w:eastAsia="es-CO"/>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t>Que el artículo 90 ídem, establece la reglamentación de los estacionamientos o parqueaderos abiertos al público, señalando los requisitos que deben observarse para su funcionamiento y administración.</w:t>
      </w:r>
    </w:p>
    <w:p w:rsidR="003347CF" w:rsidRPr="00996772" w:rsidRDefault="003347CF" w:rsidP="003347CF">
      <w:pPr>
        <w:shd w:val="clear" w:color="auto" w:fill="FFFFFF"/>
        <w:ind w:right="-426"/>
        <w:jc w:val="both"/>
        <w:rPr>
          <w:bCs/>
          <w:color w:val="000000"/>
          <w:sz w:val="24"/>
          <w:szCs w:val="22"/>
          <w:lang w:val="es-CO" w:eastAsia="es-CO"/>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t xml:space="preserve">Que de conformidad con el artículo 1 del Acuerdo Distrital 356 de 2008 </w:t>
      </w:r>
      <w:r w:rsidRPr="00996772">
        <w:rPr>
          <w:bCs/>
          <w:i/>
          <w:color w:val="000000"/>
          <w:sz w:val="24"/>
          <w:szCs w:val="22"/>
          <w:lang w:val="es-CO" w:eastAsia="es-CO"/>
        </w:rPr>
        <w:t>"Por medio del cual se adoptan medidas para el cobro de estacionamiento de vehículos fuera de vía y se dictan otras disposiciones"</w:t>
      </w:r>
      <w:r w:rsidRPr="00996772">
        <w:rPr>
          <w:bCs/>
          <w:color w:val="000000"/>
          <w:sz w:val="24"/>
          <w:szCs w:val="22"/>
          <w:lang w:val="es-CO" w:eastAsia="es-CO"/>
        </w:rPr>
        <w:t>, la liquidación de la tarifa del servicio de parqueadero deberá cobrarse por minutos.</w:t>
      </w:r>
    </w:p>
    <w:p w:rsidR="003347CF" w:rsidRPr="00996772" w:rsidRDefault="003347CF" w:rsidP="003347CF">
      <w:pPr>
        <w:shd w:val="clear" w:color="auto" w:fill="FFFFFF"/>
        <w:ind w:right="-426"/>
        <w:jc w:val="both"/>
        <w:rPr>
          <w:bCs/>
          <w:color w:val="000000"/>
          <w:sz w:val="24"/>
          <w:szCs w:val="22"/>
          <w:lang w:val="es-CO" w:eastAsia="es-CO"/>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t xml:space="preserve">Que el artículo 3 ídem estableció que </w:t>
      </w:r>
      <w:r w:rsidRPr="00996772">
        <w:rPr>
          <w:bCs/>
          <w:i/>
          <w:color w:val="000000"/>
          <w:sz w:val="24"/>
          <w:szCs w:val="22"/>
          <w:lang w:val="es-CO" w:eastAsia="es-CO"/>
        </w:rPr>
        <w:t>"(...) La persona natural o jur</w:t>
      </w:r>
      <w:r w:rsidR="001A1E8F">
        <w:rPr>
          <w:bCs/>
          <w:i/>
          <w:color w:val="000000"/>
          <w:sz w:val="24"/>
          <w:szCs w:val="22"/>
          <w:lang w:val="es-CO" w:eastAsia="es-CO"/>
        </w:rPr>
        <w:t xml:space="preserve">ídica que preste el servicio de </w:t>
      </w:r>
      <w:r w:rsidRPr="00996772">
        <w:rPr>
          <w:bCs/>
          <w:i/>
          <w:color w:val="000000"/>
          <w:sz w:val="24"/>
          <w:szCs w:val="22"/>
          <w:lang w:val="es-CO" w:eastAsia="es-CO"/>
        </w:rPr>
        <w:t>estacionamiento fuera de vía, constituirá una Póliza de Responsabilidad Civil Extracontractual Anual por cada uno de los inmuebles dedicados a ésta actividad, expedida por una Compañía de Seguros legalmente autorizada cuyo valor será reglamentado por la Administración Distrital. Esta póliza tendrá por objeto, responder ante los usuarios por daños o hurto que sufran los vehículos y sus accesorios."</w:t>
      </w:r>
    </w:p>
    <w:p w:rsidR="003347CF" w:rsidRPr="00996772" w:rsidRDefault="003347CF" w:rsidP="003347CF">
      <w:pPr>
        <w:shd w:val="clear" w:color="auto" w:fill="FFFFFF"/>
        <w:ind w:right="-426"/>
        <w:jc w:val="both"/>
        <w:rPr>
          <w:bCs/>
          <w:color w:val="000000"/>
          <w:sz w:val="24"/>
          <w:szCs w:val="22"/>
          <w:lang w:val="es-CO" w:eastAsia="es-CO"/>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t>Que el Acuerdo Distrital 580 de 2015, que modificó el artículo 118 del Acuerdo Distrital 79 de 2003, estableció que el servicio de aparcaderos deberá ser prestado por personas naturales o jurídicas legalmente constituidas que contemplen dentro de su objeto la prestación del servicio de parqueo de forma gratuita o con fines comerciales, disponiendo que dichas personas deben observar, entre otros, los siguientes comportamientos:</w:t>
      </w:r>
    </w:p>
    <w:p w:rsidR="003347CF" w:rsidRPr="00996772" w:rsidRDefault="003347CF" w:rsidP="003347CF">
      <w:pPr>
        <w:shd w:val="clear" w:color="auto" w:fill="FFFFFF"/>
        <w:ind w:right="-426"/>
        <w:jc w:val="both"/>
        <w:rPr>
          <w:bCs/>
          <w:color w:val="000000"/>
          <w:sz w:val="24"/>
          <w:szCs w:val="22"/>
          <w:lang w:val="es-CO" w:eastAsia="es-CO"/>
        </w:rPr>
      </w:pPr>
    </w:p>
    <w:p w:rsidR="003347CF" w:rsidRPr="00996772" w:rsidRDefault="003347CF" w:rsidP="003347CF">
      <w:pPr>
        <w:shd w:val="clear" w:color="auto" w:fill="FFFFFF"/>
        <w:ind w:left="708" w:right="-426"/>
        <w:jc w:val="both"/>
        <w:rPr>
          <w:bCs/>
          <w:i/>
          <w:color w:val="000000"/>
          <w:sz w:val="24"/>
          <w:szCs w:val="22"/>
          <w:lang w:val="es-CO" w:eastAsia="es-CO"/>
        </w:rPr>
      </w:pPr>
      <w:r w:rsidRPr="00996772">
        <w:rPr>
          <w:bCs/>
          <w:i/>
          <w:color w:val="000000"/>
          <w:sz w:val="24"/>
          <w:szCs w:val="22"/>
          <w:lang w:val="es-CO" w:eastAsia="es-CO"/>
        </w:rPr>
        <w:t>"(...) 3. Cobrar la tarifa fijada por el Gobierno Distrital, en los términos del Acuerdo 356 de 2008 o la norma que lo modifique, adicione o sustituya.</w:t>
      </w:r>
    </w:p>
    <w:p w:rsidR="003347CF" w:rsidRPr="00996772" w:rsidRDefault="003347CF" w:rsidP="003347CF">
      <w:pPr>
        <w:shd w:val="clear" w:color="auto" w:fill="FFFFFF"/>
        <w:ind w:left="708" w:right="-426"/>
        <w:jc w:val="both"/>
        <w:rPr>
          <w:bCs/>
          <w:i/>
          <w:color w:val="000000"/>
          <w:sz w:val="24"/>
          <w:szCs w:val="22"/>
          <w:lang w:val="es-CO" w:eastAsia="es-CO"/>
        </w:rPr>
      </w:pPr>
    </w:p>
    <w:p w:rsidR="003347CF" w:rsidRPr="00996772" w:rsidRDefault="003347CF" w:rsidP="003347CF">
      <w:pPr>
        <w:shd w:val="clear" w:color="auto" w:fill="FFFFFF"/>
        <w:ind w:left="708" w:right="-426"/>
        <w:jc w:val="both"/>
        <w:rPr>
          <w:bCs/>
          <w:color w:val="000000"/>
          <w:sz w:val="24"/>
          <w:szCs w:val="22"/>
          <w:lang w:val="es-CO" w:eastAsia="es-CO"/>
        </w:rPr>
      </w:pPr>
      <w:r w:rsidRPr="00996772">
        <w:rPr>
          <w:bCs/>
          <w:i/>
          <w:color w:val="000000"/>
          <w:sz w:val="24"/>
          <w:szCs w:val="22"/>
          <w:lang w:val="es-CO" w:eastAsia="es-CO"/>
        </w:rPr>
        <w:t>Lo anterior no excluye la posibilidad de que se apliquen fórmulas como el no cobro por compras en determinados establecimientos de comercio, y el cobro por mensualidades, días, horas continuas o tarjetas prepago, que impliquen un precio inferior al normalmente vigente en el correspondiente parqueadero (...)"</w:t>
      </w:r>
    </w:p>
    <w:p w:rsidR="003347CF" w:rsidRPr="00996772" w:rsidRDefault="003347CF" w:rsidP="003347CF">
      <w:pPr>
        <w:shd w:val="clear" w:color="auto" w:fill="FFFFFF"/>
        <w:ind w:right="-426"/>
        <w:jc w:val="both"/>
        <w:rPr>
          <w:bCs/>
          <w:color w:val="000000"/>
          <w:sz w:val="24"/>
          <w:szCs w:val="22"/>
          <w:lang w:val="es-CO" w:eastAsia="es-CO"/>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t xml:space="preserve">Que el Concejo Distrital mediante el Acuerdo 645 de 2016 adoptó el Plan de Desarrollo Económico, Social, Ambiental y de Obras Públicas para Bogotá D.C. 2016 - 2020 </w:t>
      </w:r>
      <w:r w:rsidRPr="00996772">
        <w:rPr>
          <w:bCs/>
          <w:i/>
          <w:color w:val="000000"/>
          <w:sz w:val="24"/>
          <w:szCs w:val="22"/>
          <w:lang w:val="es-CO" w:eastAsia="es-CO"/>
        </w:rPr>
        <w:t>"Bogotá Mejor para Todos"</w:t>
      </w:r>
      <w:r w:rsidRPr="00996772">
        <w:rPr>
          <w:bCs/>
          <w:color w:val="000000"/>
          <w:sz w:val="24"/>
          <w:szCs w:val="22"/>
          <w:lang w:val="es-CO" w:eastAsia="es-CO"/>
        </w:rPr>
        <w:t xml:space="preserve">, modificando por medio de su artículo 76, el artículo  2 del Acuerdo Distrital 356 de 2008, otorgando la facultad al Gobierno Distrital de definir y actualizar la metodología para establecer las tarifas de estacionamiento fuera de vía en el Distrito Capital, y disponiendo que </w:t>
      </w:r>
      <w:r w:rsidRPr="00996772">
        <w:rPr>
          <w:bCs/>
          <w:i/>
          <w:color w:val="000000"/>
          <w:sz w:val="24"/>
          <w:szCs w:val="22"/>
          <w:lang w:val="es-CO" w:eastAsia="es-CO"/>
        </w:rPr>
        <w:t>"La metodología y reglamentación vigentes para establecer las tarifas de estacionamiento fuera de vía, continuarán aplicándose hasta tanto el Gobierno Distrital defina y actualice la nueva metodología y reglamentación de conformidad con lo dispuesto en el presente artículo"</w:t>
      </w:r>
      <w:r w:rsidRPr="00996772">
        <w:rPr>
          <w:bCs/>
          <w:color w:val="000000"/>
          <w:sz w:val="24"/>
          <w:szCs w:val="22"/>
          <w:lang w:val="es-CO" w:eastAsia="es-CO"/>
        </w:rPr>
        <w:t>.</w:t>
      </w:r>
    </w:p>
    <w:p w:rsidR="003347CF" w:rsidRPr="00996772" w:rsidRDefault="003347CF" w:rsidP="003347CF">
      <w:pPr>
        <w:shd w:val="clear" w:color="auto" w:fill="FFFFFF"/>
        <w:ind w:left="-426" w:right="-426"/>
        <w:jc w:val="both"/>
        <w:rPr>
          <w:bCs/>
          <w:color w:val="000000"/>
          <w:sz w:val="24"/>
          <w:szCs w:val="22"/>
          <w:lang w:val="es-CO" w:eastAsia="es-CO"/>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lastRenderedPageBreak/>
        <w:t>Que mediante el Decreto Distrital 217 de 2017, se actualizó la metodología para el cálculo de la tarifa de parqueaderos fuera de vía, utilizando el aumento acumulado del IPC en el periodo 2014-2015 (10,7%) de tal manera que el Costo Máximo por Minuto (CMPM) quedó en $105.</w:t>
      </w:r>
    </w:p>
    <w:p w:rsidR="003347CF" w:rsidRPr="00996772" w:rsidRDefault="003347CF" w:rsidP="003347CF">
      <w:pPr>
        <w:shd w:val="clear" w:color="auto" w:fill="FFFFFF"/>
        <w:ind w:right="-426"/>
        <w:jc w:val="both"/>
        <w:rPr>
          <w:bCs/>
          <w:color w:val="000000"/>
          <w:sz w:val="24"/>
          <w:szCs w:val="22"/>
          <w:lang w:val="es-CO" w:eastAsia="es-CO"/>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t>Que teniendo en cuenta que en la actualidad algunas entidades del Distrito tienen contratos de concesiones vigentes cuya destinación es el uso de parqueadero, la excepción contemplada en el artículo 7º del presente Decreto encuentra su sustento en el hecho de que no es viable que mediante un Acto Administrativo de carácter general y unilateral afectar las condiciones contractuales previamente establecidas.</w:t>
      </w:r>
    </w:p>
    <w:p w:rsidR="003347CF" w:rsidRPr="00996772" w:rsidRDefault="003347CF" w:rsidP="003347CF">
      <w:pPr>
        <w:shd w:val="clear" w:color="auto" w:fill="FFFFFF"/>
        <w:ind w:right="-426"/>
        <w:jc w:val="both"/>
        <w:rPr>
          <w:bCs/>
          <w:color w:val="000000"/>
          <w:sz w:val="24"/>
          <w:szCs w:val="22"/>
          <w:lang w:val="es-CO" w:eastAsia="es-CO"/>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t>Es por tal razón que en los contratos celebrados con entidades del Distrito en materia de tarifas de parqueaderos se permita que el concesionario cobre a los usuarios una tarifa de acuerdo con las políticas de mercadeo y comercialización, establecidas por el concesionario, cumpliendo con el Decreto 423 de 1995, que establece el régimen de libertad vigilada para las tarifas de parqueaderos públicos de Bogotá D.C., o las normas que lo modifiquen, aclaren o complementen.</w:t>
      </w:r>
    </w:p>
    <w:p w:rsidR="003347CF" w:rsidRPr="00996772" w:rsidRDefault="003347CF" w:rsidP="003347CF">
      <w:pPr>
        <w:shd w:val="clear" w:color="auto" w:fill="FFFFFF"/>
        <w:ind w:left="-426" w:right="-426"/>
        <w:jc w:val="both"/>
        <w:rPr>
          <w:bCs/>
          <w:color w:val="000000"/>
          <w:sz w:val="24"/>
          <w:szCs w:val="22"/>
          <w:lang w:val="es-CO" w:eastAsia="es-CO"/>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t xml:space="preserve">Que la entonces Subsecretaría de Política Sectorial – Dirección de Estudios Sectoriales y de Servicios, elaboró el documento para la </w:t>
      </w:r>
      <w:r w:rsidRPr="00996772">
        <w:rPr>
          <w:bCs/>
          <w:i/>
          <w:color w:val="000000"/>
          <w:sz w:val="24"/>
          <w:szCs w:val="22"/>
          <w:lang w:val="es-CO" w:eastAsia="es-CO"/>
        </w:rPr>
        <w:t>“Actualización del Valor Máximo por Minuto de los Parqueaderos Fuera de Vía en Bogotá D.C. -, DESS-T-001-2019”</w:t>
      </w:r>
      <w:r w:rsidRPr="00996772">
        <w:rPr>
          <w:bCs/>
          <w:color w:val="000000"/>
          <w:sz w:val="24"/>
          <w:szCs w:val="22"/>
          <w:lang w:val="es-CO" w:eastAsia="es-CO"/>
        </w:rPr>
        <w:t>, presenta</w:t>
      </w:r>
      <w:r w:rsidR="00C55021" w:rsidRPr="00996772">
        <w:rPr>
          <w:bCs/>
          <w:color w:val="000000"/>
          <w:sz w:val="24"/>
          <w:szCs w:val="22"/>
          <w:lang w:val="es-CO" w:eastAsia="es-CO"/>
        </w:rPr>
        <w:t>n</w:t>
      </w:r>
      <w:r w:rsidRPr="00996772">
        <w:rPr>
          <w:bCs/>
          <w:color w:val="000000"/>
          <w:sz w:val="24"/>
          <w:szCs w:val="22"/>
          <w:lang w:val="es-CO" w:eastAsia="es-CO"/>
        </w:rPr>
        <w:t>do el análisis de los costos de la oferta de estacionamientos fuera de vía en Bogotá D.C., y proponiendo una metodología de actualización del Valor Máximo por Minuto a cobrar, que permita usar la política tarifaria como instrumento para la gestión de la demanda de transporte.</w:t>
      </w:r>
    </w:p>
    <w:p w:rsidR="003347CF" w:rsidRPr="00996772" w:rsidRDefault="003347CF" w:rsidP="003347CF">
      <w:pPr>
        <w:shd w:val="clear" w:color="auto" w:fill="FFFFFF"/>
        <w:ind w:left="-426" w:right="-426"/>
        <w:jc w:val="both"/>
        <w:rPr>
          <w:bCs/>
          <w:color w:val="000000"/>
          <w:sz w:val="24"/>
          <w:szCs w:val="22"/>
          <w:lang w:val="es-CO" w:eastAsia="es-CO"/>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t>Que, para efectos de la fijación de tarifas, en dicho estudio de enero de 2019 se propone un costo máximo por minuto que recoja los cambios en la canasta de costos y gastos de las empresas prestadoras del servicio de estacionamiento fuera de vía, teniendo en cuenta el peso relativo de los costos que se ven afectados por incrementos del Salario Mínimo Mensual Legal Vigente y de los costos afectados por incrementos del Índice de Precios al Consumidor.</w:t>
      </w:r>
    </w:p>
    <w:p w:rsidR="003347CF" w:rsidRPr="00996772" w:rsidRDefault="003347CF" w:rsidP="003347CF">
      <w:pPr>
        <w:shd w:val="clear" w:color="auto" w:fill="FFFFFF"/>
        <w:ind w:left="-426" w:right="-426"/>
        <w:jc w:val="both"/>
        <w:rPr>
          <w:bCs/>
          <w:color w:val="000000"/>
          <w:sz w:val="24"/>
          <w:szCs w:val="22"/>
          <w:lang w:val="es-CO" w:eastAsia="es-CO"/>
        </w:rPr>
      </w:pPr>
    </w:p>
    <w:p w:rsidR="003347CF" w:rsidRPr="00996772" w:rsidRDefault="003347CF" w:rsidP="003347CF">
      <w:pPr>
        <w:shd w:val="clear" w:color="auto" w:fill="FFFFFF"/>
        <w:ind w:right="-426"/>
        <w:jc w:val="both"/>
        <w:rPr>
          <w:bCs/>
          <w:color w:val="000000"/>
          <w:sz w:val="24"/>
          <w:szCs w:val="22"/>
          <w:lang w:val="es-CO" w:eastAsia="es-CO"/>
        </w:rPr>
      </w:pPr>
      <w:r w:rsidRPr="00996772">
        <w:rPr>
          <w:bCs/>
          <w:color w:val="000000"/>
          <w:sz w:val="24"/>
          <w:szCs w:val="22"/>
          <w:lang w:val="es-CO" w:eastAsia="es-CO"/>
        </w:rPr>
        <w:t>Que el mencionado estudio propone un aumento en el valor máximo por minuto (VMPM) a cobrar en Bo</w:t>
      </w:r>
      <w:r w:rsidR="009032C2">
        <w:rPr>
          <w:bCs/>
          <w:color w:val="000000"/>
          <w:sz w:val="24"/>
          <w:szCs w:val="22"/>
          <w:lang w:val="es-CO" w:eastAsia="es-CO"/>
        </w:rPr>
        <w:t>gotá D.C. correspondiente al 4,6%.</w:t>
      </w:r>
    </w:p>
    <w:p w:rsidR="003347CF" w:rsidRPr="00996772" w:rsidRDefault="003347CF" w:rsidP="003347CF">
      <w:pPr>
        <w:shd w:val="clear" w:color="auto" w:fill="FFFFFF"/>
        <w:ind w:right="-426"/>
        <w:jc w:val="both"/>
        <w:rPr>
          <w:bCs/>
          <w:color w:val="000000"/>
          <w:sz w:val="24"/>
          <w:szCs w:val="22"/>
          <w:lang w:val="es-CO" w:eastAsia="es-CO"/>
        </w:rPr>
      </w:pPr>
    </w:p>
    <w:p w:rsidR="0052753A" w:rsidRDefault="0052753A" w:rsidP="00C55021">
      <w:pPr>
        <w:shd w:val="clear" w:color="auto" w:fill="FFFFFF"/>
        <w:ind w:right="-426"/>
        <w:jc w:val="both"/>
        <w:rPr>
          <w:bCs/>
          <w:color w:val="000000"/>
          <w:sz w:val="24"/>
          <w:szCs w:val="22"/>
          <w:lang w:val="es-CO" w:eastAsia="es-CO"/>
        </w:rPr>
      </w:pPr>
    </w:p>
    <w:p w:rsidR="0052753A" w:rsidRDefault="0052753A" w:rsidP="00C55021">
      <w:pPr>
        <w:shd w:val="clear" w:color="auto" w:fill="FFFFFF"/>
        <w:ind w:right="-426"/>
        <w:jc w:val="both"/>
        <w:rPr>
          <w:bCs/>
          <w:color w:val="000000"/>
          <w:sz w:val="24"/>
          <w:szCs w:val="22"/>
          <w:lang w:val="es-CO" w:eastAsia="es-CO"/>
        </w:rPr>
      </w:pPr>
      <w:r>
        <w:rPr>
          <w:bCs/>
          <w:color w:val="000000"/>
          <w:sz w:val="24"/>
          <w:szCs w:val="22"/>
          <w:lang w:val="es-CO" w:eastAsia="es-CO"/>
        </w:rPr>
        <w:lastRenderedPageBreak/>
        <w:t xml:space="preserve">Que teniendo en cuenta que en la actualidad algunos </w:t>
      </w:r>
      <w:r w:rsidR="009032C2">
        <w:rPr>
          <w:bCs/>
          <w:color w:val="000000"/>
          <w:sz w:val="24"/>
          <w:szCs w:val="22"/>
          <w:lang w:val="es-CO" w:eastAsia="es-CO"/>
        </w:rPr>
        <w:t>estacionamientos</w:t>
      </w:r>
      <w:r>
        <w:rPr>
          <w:bCs/>
          <w:color w:val="000000"/>
          <w:sz w:val="24"/>
          <w:szCs w:val="22"/>
          <w:lang w:val="es-CO" w:eastAsia="es-CO"/>
        </w:rPr>
        <w:t xml:space="preserve"> pueden tener tarifas registradas superiores a las que resulten de la aplicación del presente decreto, se contempla una excepción a la aplicación de los factores contemplados para el cálculo del valor máximo por minuto, con el fin de no afectar el flujo de ingresos esperado por dichos </w:t>
      </w:r>
      <w:r w:rsidR="0009339A">
        <w:rPr>
          <w:bCs/>
          <w:color w:val="000000"/>
          <w:sz w:val="24"/>
          <w:szCs w:val="22"/>
          <w:lang w:val="es-CO" w:eastAsia="es-CO"/>
        </w:rPr>
        <w:t>estacionamientos.</w:t>
      </w:r>
    </w:p>
    <w:p w:rsidR="0052753A" w:rsidRDefault="0052753A" w:rsidP="00C55021">
      <w:pPr>
        <w:shd w:val="clear" w:color="auto" w:fill="FFFFFF"/>
        <w:ind w:right="-426"/>
        <w:jc w:val="both"/>
        <w:rPr>
          <w:bCs/>
          <w:color w:val="000000"/>
          <w:sz w:val="24"/>
          <w:szCs w:val="22"/>
          <w:lang w:val="es-CO" w:eastAsia="es-CO"/>
        </w:rPr>
      </w:pPr>
    </w:p>
    <w:p w:rsidR="003347CF" w:rsidRPr="00996772" w:rsidRDefault="003347CF" w:rsidP="00C55021">
      <w:pPr>
        <w:shd w:val="clear" w:color="auto" w:fill="FFFFFF"/>
        <w:ind w:right="-426"/>
        <w:jc w:val="both"/>
        <w:rPr>
          <w:bCs/>
          <w:color w:val="000000"/>
          <w:sz w:val="24"/>
          <w:szCs w:val="22"/>
          <w:lang w:val="es-CO" w:eastAsia="es-CO"/>
        </w:rPr>
      </w:pPr>
      <w:r w:rsidRPr="00996772">
        <w:rPr>
          <w:bCs/>
          <w:color w:val="000000"/>
          <w:sz w:val="24"/>
          <w:szCs w:val="22"/>
          <w:lang w:val="es-CO" w:eastAsia="es-CO"/>
        </w:rPr>
        <w:t>Que con el fin de dar cumplimiento a la política de movilidad distrital que busca priorizar los modos de transporte más sostenibles, la tarifa para bicicletas seguirá siendo la definida en el Decreto Distrital 217 de 2017, lo que implica una reducción del precio en términos reales.</w:t>
      </w:r>
    </w:p>
    <w:p w:rsidR="003347CF" w:rsidRPr="00996772" w:rsidRDefault="003347CF" w:rsidP="003347CF">
      <w:pPr>
        <w:shd w:val="clear" w:color="auto" w:fill="FFFFFF"/>
        <w:ind w:right="-426"/>
        <w:jc w:val="both"/>
        <w:rPr>
          <w:bCs/>
          <w:color w:val="000000"/>
          <w:sz w:val="24"/>
          <w:szCs w:val="22"/>
          <w:lang w:val="es-CO" w:eastAsia="es-CO"/>
        </w:rPr>
      </w:pPr>
    </w:p>
    <w:p w:rsidR="003347CF" w:rsidRPr="00996772" w:rsidRDefault="003347CF" w:rsidP="00C55021">
      <w:pPr>
        <w:shd w:val="clear" w:color="auto" w:fill="FFFFFF"/>
        <w:ind w:right="-426"/>
        <w:jc w:val="both"/>
        <w:rPr>
          <w:bCs/>
          <w:color w:val="000000"/>
          <w:sz w:val="24"/>
          <w:szCs w:val="22"/>
          <w:lang w:val="es-CO" w:eastAsia="es-CO"/>
        </w:rPr>
      </w:pPr>
      <w:r w:rsidRPr="00996772">
        <w:rPr>
          <w:bCs/>
          <w:color w:val="000000"/>
          <w:sz w:val="24"/>
          <w:szCs w:val="22"/>
          <w:lang w:val="es-CO" w:eastAsia="es-CO"/>
        </w:rPr>
        <w:t>En mérito de lo expuesto,</w:t>
      </w:r>
    </w:p>
    <w:p w:rsidR="00A3637C" w:rsidRPr="00996772" w:rsidRDefault="00C55021" w:rsidP="00996772">
      <w:pPr>
        <w:jc w:val="both"/>
        <w:rPr>
          <w:sz w:val="24"/>
          <w:szCs w:val="24"/>
        </w:rPr>
      </w:pPr>
      <w:r>
        <w:rPr>
          <w:sz w:val="24"/>
          <w:szCs w:val="24"/>
        </w:rPr>
        <w:t xml:space="preserve"> </w:t>
      </w:r>
    </w:p>
    <w:p w:rsidR="00A3637C" w:rsidRDefault="00A3637C" w:rsidP="00A3637C">
      <w:pPr>
        <w:jc w:val="center"/>
        <w:rPr>
          <w:b/>
          <w:sz w:val="24"/>
          <w:szCs w:val="24"/>
        </w:rPr>
      </w:pPr>
      <w:r>
        <w:rPr>
          <w:b/>
          <w:sz w:val="24"/>
          <w:szCs w:val="24"/>
        </w:rPr>
        <w:t>DECRETA:</w:t>
      </w:r>
    </w:p>
    <w:p w:rsidR="00C55021" w:rsidRDefault="00C55021" w:rsidP="00A3637C">
      <w:pPr>
        <w:jc w:val="center"/>
        <w:rPr>
          <w:sz w:val="24"/>
          <w:szCs w:val="24"/>
        </w:rPr>
      </w:pPr>
    </w:p>
    <w:p w:rsidR="00A3637C" w:rsidRDefault="00A3637C" w:rsidP="00A3637C">
      <w:pPr>
        <w:jc w:val="both"/>
        <w:rPr>
          <w:sz w:val="24"/>
          <w:szCs w:val="24"/>
        </w:rPr>
      </w:pPr>
    </w:p>
    <w:p w:rsidR="00A3637C" w:rsidRDefault="00C55021" w:rsidP="00C55021">
      <w:pPr>
        <w:jc w:val="both"/>
        <w:rPr>
          <w:sz w:val="24"/>
          <w:szCs w:val="24"/>
        </w:rPr>
      </w:pPr>
      <w:r>
        <w:rPr>
          <w:b/>
          <w:sz w:val="24"/>
          <w:szCs w:val="24"/>
        </w:rPr>
        <w:t xml:space="preserve">Artículo 1º.- </w:t>
      </w:r>
      <w:r w:rsidRPr="00C55021">
        <w:rPr>
          <w:b/>
          <w:bCs/>
          <w:color w:val="000000"/>
          <w:sz w:val="24"/>
          <w:szCs w:val="24"/>
          <w:lang w:eastAsia="es-CO"/>
        </w:rPr>
        <w:t xml:space="preserve">Objeto. </w:t>
      </w:r>
      <w:r w:rsidRPr="00C55021">
        <w:rPr>
          <w:bCs/>
          <w:color w:val="000000"/>
          <w:sz w:val="24"/>
          <w:szCs w:val="24"/>
          <w:lang w:eastAsia="es-CO"/>
        </w:rPr>
        <w:t>Actualizar y fijar el valor máximo por minuto para el estacionamiento fuera de vía en el Distrito Capital.</w:t>
      </w:r>
    </w:p>
    <w:p w:rsidR="00A3637C" w:rsidRDefault="00A3637C" w:rsidP="00C55021">
      <w:pPr>
        <w:jc w:val="both"/>
        <w:rPr>
          <w:sz w:val="24"/>
          <w:szCs w:val="24"/>
        </w:rPr>
      </w:pPr>
    </w:p>
    <w:p w:rsidR="00C55021" w:rsidRPr="00C20CE4" w:rsidRDefault="00A3637C" w:rsidP="00C55021">
      <w:pPr>
        <w:shd w:val="clear" w:color="auto" w:fill="FFFFFF"/>
        <w:ind w:right="-426"/>
        <w:jc w:val="both"/>
        <w:rPr>
          <w:rFonts w:ascii="Arial" w:hAnsi="Arial" w:cs="Arial"/>
          <w:bCs/>
          <w:color w:val="000000"/>
          <w:sz w:val="22"/>
          <w:szCs w:val="22"/>
          <w:lang w:eastAsia="es-CO"/>
        </w:rPr>
      </w:pPr>
      <w:r>
        <w:rPr>
          <w:b/>
          <w:sz w:val="24"/>
          <w:szCs w:val="24"/>
        </w:rPr>
        <w:t>Artículo 2º.-</w:t>
      </w:r>
      <w:r>
        <w:rPr>
          <w:sz w:val="24"/>
          <w:szCs w:val="24"/>
        </w:rPr>
        <w:t xml:space="preserve"> </w:t>
      </w:r>
      <w:r w:rsidR="00C55021" w:rsidRPr="00C55021">
        <w:rPr>
          <w:b/>
          <w:bCs/>
          <w:color w:val="000000"/>
          <w:sz w:val="24"/>
          <w:szCs w:val="22"/>
          <w:lang w:eastAsia="es-CO"/>
        </w:rPr>
        <w:t xml:space="preserve">Ámbito de Aplicación. </w:t>
      </w:r>
      <w:r w:rsidR="00C55021" w:rsidRPr="00C55021">
        <w:rPr>
          <w:bCs/>
          <w:color w:val="000000"/>
          <w:sz w:val="24"/>
          <w:szCs w:val="22"/>
          <w:lang w:eastAsia="es-CO"/>
        </w:rPr>
        <w:t>Las tarifas definidas en el presente Decreto rigen para los establecimientos, predios o edificaciones en donde se preste el servicio de estacionamiento y cuidado de vehículos motorizados y no motorizados, de propiedad pública, privada o mixta, construidos para tal fin, asociados a un uso o dentro de un predio habilitado con el mismo objeto.</w:t>
      </w:r>
    </w:p>
    <w:p w:rsidR="00A3637C" w:rsidRDefault="00A3637C" w:rsidP="00A3637C">
      <w:pPr>
        <w:jc w:val="both"/>
        <w:rPr>
          <w:sz w:val="24"/>
          <w:szCs w:val="24"/>
        </w:rPr>
      </w:pPr>
    </w:p>
    <w:p w:rsidR="00C55021" w:rsidRPr="00C20CE4" w:rsidRDefault="00C55021" w:rsidP="00C55021">
      <w:pPr>
        <w:shd w:val="clear" w:color="auto" w:fill="FFFFFF"/>
        <w:ind w:right="-426"/>
        <w:jc w:val="both"/>
        <w:rPr>
          <w:rFonts w:ascii="Arial" w:hAnsi="Arial" w:cs="Arial"/>
          <w:bCs/>
          <w:color w:val="000000"/>
          <w:sz w:val="22"/>
          <w:szCs w:val="22"/>
          <w:lang w:eastAsia="es-CO"/>
        </w:rPr>
      </w:pPr>
      <w:r>
        <w:rPr>
          <w:b/>
          <w:sz w:val="24"/>
          <w:szCs w:val="24"/>
        </w:rPr>
        <w:t>Artículo 3º.-</w:t>
      </w:r>
      <w:r>
        <w:rPr>
          <w:sz w:val="24"/>
          <w:szCs w:val="24"/>
        </w:rPr>
        <w:t xml:space="preserve"> </w:t>
      </w:r>
      <w:r w:rsidRPr="00C55021">
        <w:rPr>
          <w:b/>
          <w:bCs/>
          <w:color w:val="000000"/>
          <w:sz w:val="24"/>
          <w:szCs w:val="22"/>
          <w:lang w:eastAsia="es-CO"/>
        </w:rPr>
        <w:t xml:space="preserve">Valor Máximo por Minuto. </w:t>
      </w:r>
      <w:r w:rsidRPr="00C55021">
        <w:rPr>
          <w:bCs/>
          <w:color w:val="000000"/>
          <w:sz w:val="24"/>
          <w:szCs w:val="22"/>
          <w:lang w:eastAsia="es-CO"/>
        </w:rPr>
        <w:t>El valor máximo por minuto (VMPM) para los aparcaderos o estacionamientos fuera de vía se estimará en función de la demanda de la zona, del tipo de vehículo, el nivel de servicio del estacionamiento y el costo máximo por minuto, según lo establecido en la siguiente formula:</w:t>
      </w:r>
    </w:p>
    <w:p w:rsidR="00C55021" w:rsidRDefault="00C55021" w:rsidP="00C55021">
      <w:pPr>
        <w:shd w:val="clear" w:color="auto" w:fill="FFFFFF"/>
        <w:ind w:left="-426" w:right="-426"/>
        <w:jc w:val="both"/>
        <w:rPr>
          <w:rFonts w:ascii="Arial" w:hAnsi="Arial" w:cs="Arial"/>
          <w:bCs/>
          <w:color w:val="000000"/>
          <w:sz w:val="22"/>
          <w:szCs w:val="22"/>
          <w:lang w:eastAsia="es-CO"/>
        </w:rPr>
      </w:pPr>
    </w:p>
    <w:p w:rsidR="00996772" w:rsidRPr="00C20CE4" w:rsidRDefault="00996772" w:rsidP="00C55021">
      <w:pPr>
        <w:shd w:val="clear" w:color="auto" w:fill="FFFFFF"/>
        <w:ind w:left="-426" w:right="-426"/>
        <w:jc w:val="both"/>
        <w:rPr>
          <w:rFonts w:ascii="Arial" w:hAnsi="Arial" w:cs="Arial"/>
          <w:bCs/>
          <w:color w:val="000000"/>
          <w:sz w:val="22"/>
          <w:szCs w:val="22"/>
          <w:lang w:eastAsia="es-CO"/>
        </w:rPr>
      </w:pPr>
    </w:p>
    <w:p w:rsidR="00C55021" w:rsidRPr="00C55021" w:rsidRDefault="00C55021" w:rsidP="00C55021">
      <w:pPr>
        <w:shd w:val="clear" w:color="auto" w:fill="FFFFFF"/>
        <w:ind w:left="-426" w:right="-426"/>
        <w:jc w:val="center"/>
        <w:rPr>
          <w:b/>
          <w:bCs/>
          <w:color w:val="000000"/>
          <w:sz w:val="24"/>
          <w:szCs w:val="24"/>
          <w:lang w:eastAsia="es-CO"/>
        </w:rPr>
      </w:pPr>
      <w:r>
        <w:rPr>
          <w:b/>
          <w:bCs/>
          <w:color w:val="000000"/>
          <w:sz w:val="24"/>
          <w:szCs w:val="24"/>
          <w:lang w:eastAsia="es-CO"/>
        </w:rPr>
        <w:t>VMPM = FDZ * FTV * FNS * CMPM</w:t>
      </w:r>
    </w:p>
    <w:p w:rsidR="00996772" w:rsidRDefault="00996772" w:rsidP="00C55021">
      <w:pPr>
        <w:shd w:val="clear" w:color="auto" w:fill="FFFFFF"/>
        <w:ind w:right="-426"/>
        <w:jc w:val="both"/>
        <w:rPr>
          <w:bCs/>
          <w:color w:val="000000"/>
          <w:sz w:val="24"/>
          <w:szCs w:val="24"/>
          <w:lang w:eastAsia="es-CO"/>
        </w:rPr>
      </w:pPr>
    </w:p>
    <w:p w:rsidR="00C55021" w:rsidRPr="00C55021" w:rsidRDefault="00C55021" w:rsidP="00C55021">
      <w:pPr>
        <w:shd w:val="clear" w:color="auto" w:fill="FFFFFF"/>
        <w:ind w:right="-426"/>
        <w:jc w:val="both"/>
        <w:rPr>
          <w:bCs/>
          <w:color w:val="000000"/>
          <w:sz w:val="24"/>
          <w:szCs w:val="24"/>
          <w:lang w:eastAsia="es-CO"/>
        </w:rPr>
      </w:pPr>
      <w:r w:rsidRPr="00C55021">
        <w:rPr>
          <w:bCs/>
          <w:color w:val="000000"/>
          <w:sz w:val="24"/>
          <w:szCs w:val="24"/>
          <w:lang w:eastAsia="es-CO"/>
        </w:rPr>
        <w:t>Donde,</w:t>
      </w:r>
    </w:p>
    <w:p w:rsidR="00C55021" w:rsidRDefault="00C55021" w:rsidP="00C55021">
      <w:pPr>
        <w:shd w:val="clear" w:color="auto" w:fill="FFFFFF"/>
        <w:ind w:left="-426" w:right="-426"/>
        <w:jc w:val="both"/>
        <w:rPr>
          <w:bCs/>
          <w:color w:val="000000"/>
          <w:sz w:val="24"/>
          <w:szCs w:val="24"/>
          <w:lang w:eastAsia="es-CO"/>
        </w:rPr>
      </w:pPr>
    </w:p>
    <w:p w:rsidR="00602F39" w:rsidRPr="00C55021" w:rsidRDefault="00602F39" w:rsidP="00C55021">
      <w:pPr>
        <w:shd w:val="clear" w:color="auto" w:fill="FFFFFF"/>
        <w:ind w:left="-426" w:right="-426"/>
        <w:jc w:val="both"/>
        <w:rPr>
          <w:bCs/>
          <w:color w:val="000000"/>
          <w:sz w:val="24"/>
          <w:szCs w:val="24"/>
          <w:lang w:eastAsia="es-CO"/>
        </w:rPr>
      </w:pPr>
    </w:p>
    <w:tbl>
      <w:tblPr>
        <w:tblW w:w="8942" w:type="dxa"/>
        <w:tblInd w:w="80" w:type="dxa"/>
        <w:tblCellMar>
          <w:left w:w="70" w:type="dxa"/>
          <w:right w:w="70" w:type="dxa"/>
        </w:tblCellMar>
        <w:tblLook w:val="04A0" w:firstRow="1" w:lastRow="0" w:firstColumn="1" w:lastColumn="0" w:noHBand="0" w:noVBand="1"/>
      </w:tblPr>
      <w:tblGrid>
        <w:gridCol w:w="1233"/>
        <w:gridCol w:w="2566"/>
        <w:gridCol w:w="773"/>
        <w:gridCol w:w="946"/>
        <w:gridCol w:w="946"/>
        <w:gridCol w:w="1271"/>
        <w:gridCol w:w="1207"/>
      </w:tblGrid>
      <w:tr w:rsidR="00C55021" w:rsidRPr="0052753A" w:rsidTr="00E10540">
        <w:trPr>
          <w:trHeight w:val="466"/>
        </w:trPr>
        <w:tc>
          <w:tcPr>
            <w:tcW w:w="123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55021" w:rsidRPr="0052753A" w:rsidRDefault="00C55021" w:rsidP="00E10540">
            <w:pPr>
              <w:jc w:val="center"/>
              <w:rPr>
                <w:b/>
                <w:color w:val="000000"/>
                <w:sz w:val="21"/>
                <w:szCs w:val="21"/>
                <w:lang w:val="es-CO" w:eastAsia="es-CO"/>
              </w:rPr>
            </w:pPr>
            <w:r w:rsidRPr="0052753A">
              <w:rPr>
                <w:b/>
                <w:color w:val="000000"/>
                <w:sz w:val="21"/>
                <w:szCs w:val="21"/>
                <w:lang w:val="es-CO" w:eastAsia="es-CO"/>
              </w:rPr>
              <w:lastRenderedPageBreak/>
              <w:t>Parámetro</w:t>
            </w:r>
          </w:p>
        </w:tc>
        <w:tc>
          <w:tcPr>
            <w:tcW w:w="7709" w:type="dxa"/>
            <w:gridSpan w:val="6"/>
            <w:tcBorders>
              <w:top w:val="single" w:sz="8" w:space="0" w:color="auto"/>
              <w:left w:val="nil"/>
              <w:bottom w:val="single" w:sz="4" w:space="0" w:color="auto"/>
              <w:right w:val="single" w:sz="8" w:space="0" w:color="000000"/>
            </w:tcBorders>
            <w:shd w:val="clear" w:color="auto" w:fill="auto"/>
            <w:noWrap/>
            <w:vAlign w:val="center"/>
            <w:hideMark/>
          </w:tcPr>
          <w:p w:rsidR="00C55021" w:rsidRPr="0052753A" w:rsidRDefault="00C55021" w:rsidP="00E10540">
            <w:pPr>
              <w:jc w:val="center"/>
              <w:rPr>
                <w:b/>
                <w:color w:val="000000"/>
                <w:sz w:val="21"/>
                <w:szCs w:val="21"/>
                <w:lang w:val="es-CO" w:eastAsia="es-CO"/>
              </w:rPr>
            </w:pPr>
            <w:r w:rsidRPr="0052753A">
              <w:rPr>
                <w:b/>
                <w:color w:val="000000"/>
                <w:sz w:val="21"/>
                <w:szCs w:val="21"/>
                <w:lang w:val="es-CO" w:eastAsia="es-CO"/>
              </w:rPr>
              <w:t>Definición</w:t>
            </w:r>
          </w:p>
        </w:tc>
      </w:tr>
      <w:tr w:rsidR="00C55021" w:rsidRPr="0052753A" w:rsidTr="0040218D">
        <w:trPr>
          <w:trHeight w:val="282"/>
        </w:trPr>
        <w:tc>
          <w:tcPr>
            <w:tcW w:w="1233"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55021" w:rsidRPr="0052753A" w:rsidRDefault="00C55021" w:rsidP="0040218D">
            <w:pPr>
              <w:jc w:val="center"/>
              <w:rPr>
                <w:b/>
                <w:color w:val="000000"/>
                <w:sz w:val="21"/>
                <w:szCs w:val="21"/>
                <w:lang w:val="es-CO" w:eastAsia="es-CO"/>
              </w:rPr>
            </w:pPr>
            <w:r w:rsidRPr="0052753A">
              <w:rPr>
                <w:b/>
                <w:color w:val="000000"/>
                <w:sz w:val="21"/>
                <w:szCs w:val="21"/>
                <w:lang w:val="es-CO" w:eastAsia="es-CO"/>
              </w:rPr>
              <w:t>VMPM</w:t>
            </w:r>
          </w:p>
        </w:tc>
        <w:tc>
          <w:tcPr>
            <w:tcW w:w="7709" w:type="dxa"/>
            <w:gridSpan w:val="6"/>
            <w:vMerge w:val="restart"/>
            <w:tcBorders>
              <w:top w:val="single" w:sz="4" w:space="0" w:color="auto"/>
              <w:left w:val="single" w:sz="4" w:space="0" w:color="auto"/>
              <w:bottom w:val="single" w:sz="4" w:space="0" w:color="auto"/>
              <w:right w:val="single" w:sz="8" w:space="0" w:color="000000"/>
            </w:tcBorders>
            <w:shd w:val="clear" w:color="auto" w:fill="auto"/>
            <w:vAlign w:val="bottom"/>
            <w:hideMark/>
          </w:tcPr>
          <w:p w:rsidR="00C55021" w:rsidRPr="0052753A" w:rsidRDefault="00C55021" w:rsidP="0040218D">
            <w:pPr>
              <w:rPr>
                <w:color w:val="000000"/>
                <w:sz w:val="21"/>
                <w:szCs w:val="21"/>
                <w:lang w:val="es-CO" w:eastAsia="es-CO"/>
              </w:rPr>
            </w:pPr>
            <w:r w:rsidRPr="0052753A">
              <w:rPr>
                <w:b/>
                <w:color w:val="000000"/>
                <w:sz w:val="21"/>
                <w:szCs w:val="21"/>
                <w:lang w:val="es-CO" w:eastAsia="es-CO"/>
              </w:rPr>
              <w:t>Valor Máximo Por Minuto:</w:t>
            </w:r>
            <w:r w:rsidRPr="0052753A">
              <w:rPr>
                <w:color w:val="000000"/>
                <w:sz w:val="21"/>
                <w:szCs w:val="21"/>
                <w:lang w:val="es-CO" w:eastAsia="es-CO"/>
              </w:rPr>
              <w:t xml:space="preserve"> es el valor máximo que puede cobrarse al usuario de estacionamiento por minuto.</w:t>
            </w:r>
          </w:p>
        </w:tc>
      </w:tr>
      <w:tr w:rsidR="00C55021" w:rsidRPr="0052753A" w:rsidTr="0040218D">
        <w:trPr>
          <w:trHeight w:val="297"/>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7709" w:type="dxa"/>
            <w:gridSpan w:val="6"/>
            <w:vMerge/>
            <w:tcBorders>
              <w:top w:val="single" w:sz="4" w:space="0" w:color="auto"/>
              <w:left w:val="single" w:sz="4" w:space="0" w:color="auto"/>
              <w:bottom w:val="single" w:sz="4" w:space="0" w:color="auto"/>
              <w:right w:val="single" w:sz="8" w:space="0" w:color="000000"/>
            </w:tcBorders>
            <w:vAlign w:val="center"/>
            <w:hideMark/>
          </w:tcPr>
          <w:p w:rsidR="00C55021" w:rsidRPr="0052753A" w:rsidRDefault="00C55021" w:rsidP="0040218D">
            <w:pPr>
              <w:rPr>
                <w:color w:val="000000"/>
                <w:sz w:val="21"/>
                <w:szCs w:val="21"/>
                <w:lang w:val="es-CO" w:eastAsia="es-CO"/>
              </w:rPr>
            </w:pPr>
          </w:p>
        </w:tc>
      </w:tr>
      <w:tr w:rsidR="00C55021" w:rsidRPr="0052753A" w:rsidTr="0040218D">
        <w:trPr>
          <w:trHeight w:val="877"/>
        </w:trPr>
        <w:tc>
          <w:tcPr>
            <w:tcW w:w="1233"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55021" w:rsidRPr="0052753A" w:rsidRDefault="00C55021" w:rsidP="0040218D">
            <w:pPr>
              <w:jc w:val="center"/>
              <w:rPr>
                <w:b/>
                <w:color w:val="000000"/>
                <w:sz w:val="21"/>
                <w:szCs w:val="21"/>
                <w:lang w:val="es-CO" w:eastAsia="es-CO"/>
              </w:rPr>
            </w:pPr>
            <w:r w:rsidRPr="0052753A">
              <w:rPr>
                <w:b/>
                <w:color w:val="000000"/>
                <w:sz w:val="21"/>
                <w:szCs w:val="21"/>
                <w:lang w:val="es-CO" w:eastAsia="es-CO"/>
              </w:rPr>
              <w:t>FDZ</w:t>
            </w:r>
          </w:p>
        </w:tc>
        <w:tc>
          <w:tcPr>
            <w:tcW w:w="7709" w:type="dxa"/>
            <w:gridSpan w:val="6"/>
            <w:vMerge w:val="restart"/>
            <w:tcBorders>
              <w:top w:val="nil"/>
              <w:left w:val="nil"/>
              <w:bottom w:val="nil"/>
              <w:right w:val="single" w:sz="8" w:space="0" w:color="000000"/>
            </w:tcBorders>
            <w:shd w:val="clear" w:color="auto" w:fill="auto"/>
            <w:vAlign w:val="bottom"/>
            <w:hideMark/>
          </w:tcPr>
          <w:p w:rsidR="00C55021" w:rsidRPr="0052753A" w:rsidRDefault="00C55021" w:rsidP="0040218D">
            <w:pPr>
              <w:rPr>
                <w:color w:val="000000"/>
                <w:sz w:val="21"/>
                <w:szCs w:val="21"/>
                <w:lang w:val="es-CO" w:eastAsia="es-CO"/>
              </w:rPr>
            </w:pPr>
            <w:r w:rsidRPr="0052753A">
              <w:rPr>
                <w:b/>
                <w:color w:val="000000"/>
                <w:sz w:val="21"/>
                <w:szCs w:val="21"/>
                <w:lang w:val="es-CO" w:eastAsia="es-CO"/>
              </w:rPr>
              <w:t>Factor de Demanda Zonal:</w:t>
            </w:r>
            <w:r w:rsidRPr="0052753A">
              <w:rPr>
                <w:color w:val="000000"/>
                <w:sz w:val="21"/>
                <w:szCs w:val="21"/>
                <w:lang w:val="es-CO" w:eastAsia="es-CO"/>
              </w:rPr>
              <w:t xml:space="preserve"> Es el factor de demanda que depende de la zona en que está ubicado el estacionamiento y fluctúa entre 0,5 y 1,0 a partir de la demanda del sector, el estrato social y la actividad del sector.</w:t>
            </w:r>
          </w:p>
          <w:p w:rsidR="00C55021" w:rsidRPr="0052753A" w:rsidRDefault="00C55021" w:rsidP="0040218D">
            <w:pPr>
              <w:rPr>
                <w:color w:val="000000"/>
                <w:sz w:val="21"/>
                <w:szCs w:val="21"/>
                <w:lang w:val="es-CO" w:eastAsia="es-CO"/>
              </w:rPr>
            </w:pPr>
          </w:p>
          <w:p w:rsidR="00C55021" w:rsidRPr="0052753A" w:rsidRDefault="00C55021" w:rsidP="0040218D">
            <w:pPr>
              <w:rPr>
                <w:color w:val="000000"/>
                <w:sz w:val="21"/>
                <w:szCs w:val="21"/>
                <w:lang w:val="es-CO" w:eastAsia="es-CO"/>
              </w:rPr>
            </w:pPr>
            <w:r w:rsidRPr="0052753A">
              <w:rPr>
                <w:color w:val="000000"/>
                <w:sz w:val="21"/>
                <w:szCs w:val="21"/>
                <w:lang w:val="es-CO" w:eastAsia="es-CO"/>
              </w:rPr>
              <w:t>Este factor de demanda será definido por la Secretaría Distrital de Movilidad y fluctuará entre 0,5 y 1,0.</w:t>
            </w:r>
          </w:p>
          <w:p w:rsidR="00C55021" w:rsidRPr="0052753A" w:rsidRDefault="00C55021" w:rsidP="0040218D">
            <w:pPr>
              <w:rPr>
                <w:color w:val="000000"/>
                <w:sz w:val="21"/>
                <w:szCs w:val="21"/>
                <w:lang w:val="es-CO" w:eastAsia="es-CO"/>
              </w:rPr>
            </w:pPr>
          </w:p>
          <w:p w:rsidR="00C55021" w:rsidRPr="0052753A" w:rsidRDefault="00C55021" w:rsidP="0040218D">
            <w:pPr>
              <w:rPr>
                <w:color w:val="000000"/>
                <w:sz w:val="21"/>
                <w:szCs w:val="21"/>
                <w:lang w:val="es-CO" w:eastAsia="es-CO"/>
              </w:rPr>
            </w:pPr>
            <w:r w:rsidRPr="0052753A">
              <w:rPr>
                <w:color w:val="000000"/>
                <w:sz w:val="21"/>
                <w:szCs w:val="21"/>
                <w:lang w:val="es-CO" w:eastAsia="es-CO"/>
              </w:rPr>
              <w:t>Para efectos del presente Decreto, el factor de demanda zonal asignado a cada localidad es el indicado en el cuadro que se transcribe a continuación:</w:t>
            </w:r>
          </w:p>
          <w:p w:rsidR="00C55021" w:rsidRPr="0052753A" w:rsidRDefault="00C55021" w:rsidP="0040218D">
            <w:pPr>
              <w:rPr>
                <w:color w:val="000000"/>
                <w:sz w:val="21"/>
                <w:szCs w:val="21"/>
                <w:lang w:val="es-CO" w:eastAsia="es-CO"/>
              </w:rPr>
            </w:pPr>
          </w:p>
        </w:tc>
      </w:tr>
      <w:tr w:rsidR="00C55021" w:rsidRPr="0052753A" w:rsidTr="0040218D">
        <w:trPr>
          <w:trHeight w:val="282"/>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7709" w:type="dxa"/>
            <w:gridSpan w:val="6"/>
            <w:vMerge/>
            <w:tcBorders>
              <w:top w:val="nil"/>
              <w:left w:val="nil"/>
              <w:bottom w:val="nil"/>
              <w:right w:val="single" w:sz="8" w:space="0" w:color="000000"/>
            </w:tcBorders>
            <w:vAlign w:val="center"/>
            <w:hideMark/>
          </w:tcPr>
          <w:p w:rsidR="00C55021" w:rsidRPr="0052753A" w:rsidRDefault="00C55021" w:rsidP="0040218D">
            <w:pPr>
              <w:rPr>
                <w:color w:val="000000"/>
                <w:sz w:val="21"/>
                <w:szCs w:val="21"/>
                <w:lang w:val="es-CO" w:eastAsia="es-CO"/>
              </w:rPr>
            </w:pPr>
          </w:p>
        </w:tc>
      </w:tr>
      <w:tr w:rsidR="00C55021" w:rsidRPr="0052753A" w:rsidTr="0040218D">
        <w:trPr>
          <w:trHeight w:val="282"/>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single" w:sz="4" w:space="0" w:color="auto"/>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b/>
                <w:color w:val="000000"/>
                <w:sz w:val="21"/>
                <w:szCs w:val="21"/>
                <w:lang w:val="es-CO" w:eastAsia="es-CO"/>
              </w:rPr>
            </w:pPr>
            <w:r w:rsidRPr="0052753A">
              <w:rPr>
                <w:b/>
                <w:color w:val="000000"/>
                <w:sz w:val="21"/>
                <w:szCs w:val="21"/>
                <w:lang w:val="es-CO" w:eastAsia="es-CO"/>
              </w:rPr>
              <w:t>LOCALIDAD</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rsidR="00C55021" w:rsidRPr="0052753A" w:rsidRDefault="00C55021" w:rsidP="0040218D">
            <w:pPr>
              <w:jc w:val="center"/>
              <w:rPr>
                <w:b/>
                <w:color w:val="000000"/>
                <w:sz w:val="21"/>
                <w:szCs w:val="21"/>
                <w:lang w:val="es-CO" w:eastAsia="es-CO"/>
              </w:rPr>
            </w:pPr>
            <w:r w:rsidRPr="0052753A">
              <w:rPr>
                <w:b/>
                <w:color w:val="000000"/>
                <w:sz w:val="21"/>
                <w:szCs w:val="21"/>
                <w:lang w:val="es-CO" w:eastAsia="es-CO"/>
              </w:rPr>
              <w:t>FDZ</w:t>
            </w:r>
          </w:p>
        </w:tc>
        <w:tc>
          <w:tcPr>
            <w:tcW w:w="436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C55021" w:rsidRPr="0052753A" w:rsidRDefault="00C55021" w:rsidP="0040218D">
            <w:pPr>
              <w:jc w:val="center"/>
              <w:rPr>
                <w:b/>
                <w:color w:val="000000"/>
                <w:sz w:val="21"/>
                <w:szCs w:val="21"/>
                <w:lang w:val="es-CO" w:eastAsia="es-CO"/>
              </w:rPr>
            </w:pPr>
            <w:r w:rsidRPr="0052753A">
              <w:rPr>
                <w:b/>
                <w:color w:val="000000"/>
                <w:sz w:val="21"/>
                <w:szCs w:val="21"/>
                <w:lang w:val="es-CO" w:eastAsia="es-CO"/>
              </w:rPr>
              <w:t>EXCEPCIONES</w:t>
            </w:r>
          </w:p>
        </w:tc>
      </w:tr>
      <w:tr w:rsidR="00C55021" w:rsidRPr="0052753A" w:rsidTr="0052753A">
        <w:trPr>
          <w:trHeight w:val="284"/>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Usaquén</w:t>
            </w:r>
          </w:p>
        </w:tc>
        <w:tc>
          <w:tcPr>
            <w:tcW w:w="773"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1</w:t>
            </w:r>
          </w:p>
        </w:tc>
        <w:tc>
          <w:tcPr>
            <w:tcW w:w="4368" w:type="dxa"/>
            <w:gridSpan w:val="4"/>
            <w:tcBorders>
              <w:top w:val="single" w:sz="4" w:space="0" w:color="auto"/>
              <w:left w:val="nil"/>
              <w:bottom w:val="single" w:sz="4" w:space="0" w:color="auto"/>
              <w:right w:val="single" w:sz="8" w:space="0" w:color="000000"/>
            </w:tcBorders>
            <w:shd w:val="clear" w:color="auto" w:fill="auto"/>
            <w:vAlign w:val="bottom"/>
            <w:hideMark/>
          </w:tcPr>
          <w:p w:rsidR="00C55021" w:rsidRPr="0052753A" w:rsidRDefault="00C55021" w:rsidP="0040218D">
            <w:pPr>
              <w:rPr>
                <w:color w:val="000000"/>
                <w:sz w:val="21"/>
                <w:szCs w:val="21"/>
                <w:lang w:val="es-CO" w:eastAsia="es-CO"/>
              </w:rPr>
            </w:pPr>
            <w:r w:rsidRPr="0052753A">
              <w:rPr>
                <w:color w:val="000000"/>
                <w:sz w:val="21"/>
                <w:szCs w:val="21"/>
                <w:lang w:val="es-CO" w:eastAsia="es-CO"/>
              </w:rPr>
              <w:t>Las UPZ San Cristóbal Norte, Verbenal, Toberín se considerarán demanda zonal 0.8.</w:t>
            </w:r>
          </w:p>
        </w:tc>
      </w:tr>
      <w:tr w:rsidR="00C55021" w:rsidRPr="0052753A" w:rsidTr="00C55021">
        <w:trPr>
          <w:trHeight w:val="143"/>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Chapinero</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1</w:t>
            </w:r>
          </w:p>
        </w:tc>
        <w:tc>
          <w:tcPr>
            <w:tcW w:w="4368" w:type="dxa"/>
            <w:gridSpan w:val="4"/>
            <w:vMerge w:val="restart"/>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Sin  excepciones</w:t>
            </w:r>
          </w:p>
        </w:tc>
      </w:tr>
      <w:tr w:rsidR="00C55021" w:rsidRPr="0052753A" w:rsidTr="0052753A">
        <w:trPr>
          <w:trHeight w:val="85"/>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Santa Fe</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1</w:t>
            </w:r>
          </w:p>
        </w:tc>
        <w:tc>
          <w:tcPr>
            <w:tcW w:w="4368" w:type="dxa"/>
            <w:gridSpan w:val="4"/>
            <w:vMerge/>
            <w:tcBorders>
              <w:top w:val="nil"/>
              <w:left w:val="nil"/>
              <w:bottom w:val="single" w:sz="4" w:space="0" w:color="auto"/>
              <w:right w:val="single" w:sz="4" w:space="0" w:color="auto"/>
            </w:tcBorders>
            <w:vAlign w:val="center"/>
            <w:hideMark/>
          </w:tcPr>
          <w:p w:rsidR="00C55021" w:rsidRPr="0052753A" w:rsidRDefault="00C55021" w:rsidP="0040218D">
            <w:pPr>
              <w:rPr>
                <w:color w:val="000000"/>
                <w:sz w:val="21"/>
                <w:szCs w:val="21"/>
                <w:lang w:val="es-CO" w:eastAsia="es-CO"/>
              </w:rPr>
            </w:pPr>
          </w:p>
        </w:tc>
      </w:tr>
      <w:tr w:rsidR="00C55021" w:rsidRPr="0052753A" w:rsidTr="0040218D">
        <w:trPr>
          <w:trHeight w:val="339"/>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San Cristóbal</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0,8</w:t>
            </w:r>
          </w:p>
        </w:tc>
        <w:tc>
          <w:tcPr>
            <w:tcW w:w="4368" w:type="dxa"/>
            <w:gridSpan w:val="4"/>
            <w:vMerge/>
            <w:tcBorders>
              <w:top w:val="nil"/>
              <w:left w:val="nil"/>
              <w:bottom w:val="single" w:sz="4" w:space="0" w:color="auto"/>
              <w:right w:val="single" w:sz="4" w:space="0" w:color="auto"/>
            </w:tcBorders>
            <w:vAlign w:val="center"/>
            <w:hideMark/>
          </w:tcPr>
          <w:p w:rsidR="00C55021" w:rsidRPr="0052753A" w:rsidRDefault="00C55021" w:rsidP="0040218D">
            <w:pPr>
              <w:rPr>
                <w:color w:val="000000"/>
                <w:sz w:val="21"/>
                <w:szCs w:val="21"/>
                <w:lang w:val="es-CO" w:eastAsia="es-CO"/>
              </w:rPr>
            </w:pPr>
          </w:p>
        </w:tc>
      </w:tr>
      <w:tr w:rsidR="00C55021" w:rsidRPr="0052753A" w:rsidTr="0040218D">
        <w:trPr>
          <w:trHeight w:val="282"/>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Usme</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0,8</w:t>
            </w:r>
          </w:p>
        </w:tc>
        <w:tc>
          <w:tcPr>
            <w:tcW w:w="4368" w:type="dxa"/>
            <w:gridSpan w:val="4"/>
            <w:vMerge/>
            <w:tcBorders>
              <w:top w:val="nil"/>
              <w:left w:val="nil"/>
              <w:bottom w:val="single" w:sz="4" w:space="0" w:color="auto"/>
              <w:right w:val="single" w:sz="4" w:space="0" w:color="auto"/>
            </w:tcBorders>
            <w:vAlign w:val="center"/>
            <w:hideMark/>
          </w:tcPr>
          <w:p w:rsidR="00C55021" w:rsidRPr="0052753A" w:rsidRDefault="00C55021" w:rsidP="0040218D">
            <w:pPr>
              <w:rPr>
                <w:color w:val="000000"/>
                <w:sz w:val="21"/>
                <w:szCs w:val="21"/>
                <w:lang w:val="es-CO" w:eastAsia="es-CO"/>
              </w:rPr>
            </w:pPr>
          </w:p>
        </w:tc>
      </w:tr>
      <w:tr w:rsidR="00C55021" w:rsidRPr="0052753A" w:rsidTr="0040218D">
        <w:trPr>
          <w:trHeight w:val="339"/>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Tunjuelito</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0,8</w:t>
            </w:r>
          </w:p>
        </w:tc>
        <w:tc>
          <w:tcPr>
            <w:tcW w:w="4368" w:type="dxa"/>
            <w:gridSpan w:val="4"/>
            <w:vMerge/>
            <w:tcBorders>
              <w:top w:val="nil"/>
              <w:left w:val="nil"/>
              <w:bottom w:val="single" w:sz="4" w:space="0" w:color="auto"/>
              <w:right w:val="single" w:sz="4" w:space="0" w:color="auto"/>
            </w:tcBorders>
            <w:vAlign w:val="center"/>
            <w:hideMark/>
          </w:tcPr>
          <w:p w:rsidR="00C55021" w:rsidRPr="0052753A" w:rsidRDefault="00C55021" w:rsidP="0040218D">
            <w:pPr>
              <w:rPr>
                <w:color w:val="000000"/>
                <w:sz w:val="21"/>
                <w:szCs w:val="21"/>
                <w:lang w:val="es-CO" w:eastAsia="es-CO"/>
              </w:rPr>
            </w:pPr>
          </w:p>
        </w:tc>
      </w:tr>
      <w:tr w:rsidR="00C55021" w:rsidRPr="0052753A" w:rsidTr="0040218D">
        <w:trPr>
          <w:trHeight w:val="282"/>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Bosa</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0,8</w:t>
            </w:r>
          </w:p>
        </w:tc>
        <w:tc>
          <w:tcPr>
            <w:tcW w:w="4368" w:type="dxa"/>
            <w:gridSpan w:val="4"/>
            <w:vMerge/>
            <w:tcBorders>
              <w:top w:val="nil"/>
              <w:left w:val="nil"/>
              <w:bottom w:val="single" w:sz="4" w:space="0" w:color="auto"/>
              <w:right w:val="single" w:sz="4" w:space="0" w:color="auto"/>
            </w:tcBorders>
            <w:vAlign w:val="center"/>
            <w:hideMark/>
          </w:tcPr>
          <w:p w:rsidR="00C55021" w:rsidRPr="0052753A" w:rsidRDefault="00C55021" w:rsidP="0040218D">
            <w:pPr>
              <w:rPr>
                <w:color w:val="000000"/>
                <w:sz w:val="21"/>
                <w:szCs w:val="21"/>
                <w:lang w:val="es-CO" w:eastAsia="es-CO"/>
              </w:rPr>
            </w:pPr>
          </w:p>
        </w:tc>
      </w:tr>
      <w:tr w:rsidR="00C55021" w:rsidRPr="0052753A" w:rsidTr="00C55021">
        <w:trPr>
          <w:trHeight w:val="297"/>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Kennedy</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0,8</w:t>
            </w:r>
          </w:p>
        </w:tc>
        <w:tc>
          <w:tcPr>
            <w:tcW w:w="4368" w:type="dxa"/>
            <w:gridSpan w:val="4"/>
            <w:vMerge/>
            <w:tcBorders>
              <w:top w:val="nil"/>
              <w:left w:val="nil"/>
              <w:bottom w:val="single" w:sz="4" w:space="0" w:color="auto"/>
              <w:right w:val="single" w:sz="4" w:space="0" w:color="auto"/>
            </w:tcBorders>
            <w:vAlign w:val="center"/>
            <w:hideMark/>
          </w:tcPr>
          <w:p w:rsidR="00C55021" w:rsidRPr="0052753A" w:rsidRDefault="00C55021" w:rsidP="0040218D">
            <w:pPr>
              <w:rPr>
                <w:color w:val="000000"/>
                <w:sz w:val="21"/>
                <w:szCs w:val="21"/>
                <w:lang w:val="es-CO" w:eastAsia="es-CO"/>
              </w:rPr>
            </w:pPr>
          </w:p>
        </w:tc>
      </w:tr>
      <w:tr w:rsidR="00C55021" w:rsidRPr="0052753A" w:rsidTr="0052753A">
        <w:trPr>
          <w:trHeight w:val="761"/>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Fontibón</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0,8</w:t>
            </w:r>
          </w:p>
        </w:tc>
        <w:tc>
          <w:tcPr>
            <w:tcW w:w="4368" w:type="dxa"/>
            <w:gridSpan w:val="4"/>
            <w:tcBorders>
              <w:top w:val="single" w:sz="4" w:space="0" w:color="auto"/>
              <w:left w:val="nil"/>
              <w:bottom w:val="single" w:sz="4" w:space="0" w:color="auto"/>
              <w:right w:val="single" w:sz="4" w:space="0" w:color="auto"/>
            </w:tcBorders>
            <w:shd w:val="clear" w:color="auto" w:fill="auto"/>
            <w:vAlign w:val="bottom"/>
            <w:hideMark/>
          </w:tcPr>
          <w:p w:rsidR="00C55021" w:rsidRPr="0052753A" w:rsidRDefault="00C55021" w:rsidP="0040218D">
            <w:pPr>
              <w:rPr>
                <w:color w:val="000000"/>
                <w:sz w:val="21"/>
                <w:szCs w:val="21"/>
                <w:lang w:val="es-CO" w:eastAsia="es-CO"/>
              </w:rPr>
            </w:pPr>
            <w:r w:rsidRPr="0052753A">
              <w:rPr>
                <w:color w:val="000000"/>
                <w:sz w:val="21"/>
                <w:szCs w:val="21"/>
                <w:lang w:val="es-CO" w:eastAsia="es-CO"/>
              </w:rPr>
              <w:t>Las UPZ Modelia y Ciudad Salitre Occidental corresponderán a demanda zonal 1, así como los estacionamientos situados en el Aeropuerto Internacional El Dorado Luis Carlos Galán Sarmiento .</w:t>
            </w:r>
          </w:p>
        </w:tc>
      </w:tr>
      <w:tr w:rsidR="00C55021" w:rsidRPr="0052753A" w:rsidTr="0052753A">
        <w:trPr>
          <w:trHeight w:val="70"/>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Engativá</w:t>
            </w:r>
          </w:p>
        </w:tc>
        <w:tc>
          <w:tcPr>
            <w:tcW w:w="773"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0,8</w:t>
            </w:r>
          </w:p>
        </w:tc>
        <w:tc>
          <w:tcPr>
            <w:tcW w:w="4368" w:type="dxa"/>
            <w:gridSpan w:val="4"/>
            <w:tcBorders>
              <w:top w:val="single" w:sz="4" w:space="0" w:color="auto"/>
              <w:left w:val="nil"/>
              <w:bottom w:val="single" w:sz="4" w:space="0" w:color="auto"/>
              <w:right w:val="single" w:sz="8" w:space="0" w:color="000000"/>
            </w:tcBorders>
            <w:shd w:val="clear" w:color="auto" w:fill="auto"/>
            <w:vAlign w:val="bottom"/>
            <w:hideMark/>
          </w:tcPr>
          <w:p w:rsidR="00C55021" w:rsidRPr="0052753A" w:rsidRDefault="00C55021" w:rsidP="0040218D">
            <w:pPr>
              <w:rPr>
                <w:color w:val="000000"/>
                <w:sz w:val="21"/>
                <w:szCs w:val="21"/>
                <w:lang w:val="es-CO" w:eastAsia="es-CO"/>
              </w:rPr>
            </w:pPr>
            <w:r w:rsidRPr="0052753A">
              <w:rPr>
                <w:color w:val="000000"/>
                <w:sz w:val="21"/>
                <w:szCs w:val="21"/>
                <w:lang w:val="es-CO" w:eastAsia="es-CO"/>
              </w:rPr>
              <w:t>Las UPZ Santa Cecilia y Jardín Botánico corresponderán a demanda zonal 1.</w:t>
            </w:r>
          </w:p>
        </w:tc>
      </w:tr>
      <w:tr w:rsidR="00C55021" w:rsidRPr="0052753A" w:rsidTr="0040218D">
        <w:trPr>
          <w:trHeight w:val="636"/>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Suba</w:t>
            </w:r>
          </w:p>
        </w:tc>
        <w:tc>
          <w:tcPr>
            <w:tcW w:w="773"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1</w:t>
            </w:r>
          </w:p>
        </w:tc>
        <w:tc>
          <w:tcPr>
            <w:tcW w:w="4368" w:type="dxa"/>
            <w:gridSpan w:val="4"/>
            <w:tcBorders>
              <w:top w:val="single" w:sz="4" w:space="0" w:color="auto"/>
              <w:left w:val="nil"/>
              <w:bottom w:val="single" w:sz="4" w:space="0" w:color="auto"/>
              <w:right w:val="single" w:sz="8" w:space="0" w:color="000000"/>
            </w:tcBorders>
            <w:shd w:val="clear" w:color="auto" w:fill="auto"/>
            <w:vAlign w:val="bottom"/>
            <w:hideMark/>
          </w:tcPr>
          <w:p w:rsidR="00C55021" w:rsidRPr="0052753A" w:rsidRDefault="00C55021" w:rsidP="0040218D">
            <w:pPr>
              <w:rPr>
                <w:color w:val="000000"/>
                <w:sz w:val="21"/>
                <w:szCs w:val="21"/>
                <w:lang w:val="es-CO" w:eastAsia="es-CO"/>
              </w:rPr>
            </w:pPr>
            <w:r w:rsidRPr="0052753A">
              <w:rPr>
                <w:color w:val="000000"/>
                <w:sz w:val="21"/>
                <w:szCs w:val="21"/>
                <w:lang w:val="es-CO" w:eastAsia="es-CO"/>
              </w:rPr>
              <w:t>Las UPZ Suba, Britalia, Prado, Rincón y Tibabuyes corresponderán a demanda zonal 0,8.</w:t>
            </w:r>
          </w:p>
        </w:tc>
      </w:tr>
      <w:tr w:rsidR="00C55021" w:rsidRPr="0052753A" w:rsidTr="0052753A">
        <w:trPr>
          <w:trHeight w:val="243"/>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Barrios Unidos</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1</w:t>
            </w:r>
          </w:p>
        </w:tc>
        <w:tc>
          <w:tcPr>
            <w:tcW w:w="4368"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Sin  excepciones</w:t>
            </w:r>
          </w:p>
        </w:tc>
      </w:tr>
      <w:tr w:rsidR="00C55021" w:rsidRPr="0052753A" w:rsidTr="0052753A">
        <w:trPr>
          <w:trHeight w:val="178"/>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Teusaquillo</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1</w:t>
            </w:r>
          </w:p>
        </w:tc>
        <w:tc>
          <w:tcPr>
            <w:tcW w:w="4368" w:type="dxa"/>
            <w:gridSpan w:val="4"/>
            <w:vMerge/>
            <w:tcBorders>
              <w:top w:val="nil"/>
              <w:left w:val="nil"/>
              <w:bottom w:val="single" w:sz="4" w:space="0" w:color="auto"/>
              <w:right w:val="single" w:sz="4" w:space="0" w:color="auto"/>
            </w:tcBorders>
            <w:vAlign w:val="center"/>
            <w:hideMark/>
          </w:tcPr>
          <w:p w:rsidR="00C55021" w:rsidRPr="0052753A" w:rsidRDefault="00C55021" w:rsidP="0040218D">
            <w:pPr>
              <w:rPr>
                <w:color w:val="000000"/>
                <w:sz w:val="21"/>
                <w:szCs w:val="21"/>
                <w:lang w:val="es-CO" w:eastAsia="es-CO"/>
              </w:rPr>
            </w:pPr>
          </w:p>
        </w:tc>
      </w:tr>
      <w:tr w:rsidR="00C55021" w:rsidRPr="0052753A" w:rsidTr="0052753A">
        <w:trPr>
          <w:trHeight w:val="70"/>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Los Mártires</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1</w:t>
            </w:r>
          </w:p>
        </w:tc>
        <w:tc>
          <w:tcPr>
            <w:tcW w:w="4368" w:type="dxa"/>
            <w:gridSpan w:val="4"/>
            <w:vMerge/>
            <w:tcBorders>
              <w:top w:val="nil"/>
              <w:left w:val="nil"/>
              <w:bottom w:val="single" w:sz="4" w:space="0" w:color="auto"/>
              <w:right w:val="single" w:sz="4" w:space="0" w:color="auto"/>
            </w:tcBorders>
            <w:vAlign w:val="center"/>
            <w:hideMark/>
          </w:tcPr>
          <w:p w:rsidR="00C55021" w:rsidRPr="0052753A" w:rsidRDefault="00C55021" w:rsidP="0040218D">
            <w:pPr>
              <w:rPr>
                <w:color w:val="000000"/>
                <w:sz w:val="21"/>
                <w:szCs w:val="21"/>
                <w:lang w:val="es-CO" w:eastAsia="es-CO"/>
              </w:rPr>
            </w:pPr>
          </w:p>
        </w:tc>
      </w:tr>
      <w:tr w:rsidR="00C55021" w:rsidRPr="0052753A" w:rsidTr="0052753A">
        <w:trPr>
          <w:trHeight w:val="341"/>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Antonio Nariño</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1</w:t>
            </w:r>
          </w:p>
        </w:tc>
        <w:tc>
          <w:tcPr>
            <w:tcW w:w="4368" w:type="dxa"/>
            <w:gridSpan w:val="4"/>
            <w:tcBorders>
              <w:top w:val="single" w:sz="4" w:space="0" w:color="auto"/>
              <w:left w:val="nil"/>
              <w:bottom w:val="single" w:sz="4" w:space="0" w:color="auto"/>
              <w:right w:val="single" w:sz="8" w:space="0" w:color="000000"/>
            </w:tcBorders>
            <w:shd w:val="clear" w:color="auto" w:fill="auto"/>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La UPZ Ciudad Jardín corresponderá a demanda 0,8</w:t>
            </w:r>
          </w:p>
        </w:tc>
      </w:tr>
      <w:tr w:rsidR="00C55021" w:rsidRPr="0052753A" w:rsidTr="0052753A">
        <w:trPr>
          <w:trHeight w:val="405"/>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Puente Aranda</w:t>
            </w:r>
          </w:p>
        </w:tc>
        <w:tc>
          <w:tcPr>
            <w:tcW w:w="773"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0,8</w:t>
            </w:r>
          </w:p>
        </w:tc>
        <w:tc>
          <w:tcPr>
            <w:tcW w:w="4368" w:type="dxa"/>
            <w:gridSpan w:val="4"/>
            <w:tcBorders>
              <w:top w:val="single" w:sz="4" w:space="0" w:color="auto"/>
              <w:left w:val="nil"/>
              <w:bottom w:val="single" w:sz="4" w:space="0" w:color="auto"/>
              <w:right w:val="single" w:sz="8" w:space="0" w:color="000000"/>
            </w:tcBorders>
            <w:shd w:val="clear" w:color="auto" w:fill="auto"/>
            <w:vAlign w:val="bottom"/>
            <w:hideMark/>
          </w:tcPr>
          <w:p w:rsidR="00C55021" w:rsidRPr="0052753A" w:rsidRDefault="00C55021" w:rsidP="0040218D">
            <w:pPr>
              <w:rPr>
                <w:color w:val="000000"/>
                <w:sz w:val="21"/>
                <w:szCs w:val="21"/>
                <w:lang w:val="es-CO" w:eastAsia="es-CO"/>
              </w:rPr>
            </w:pPr>
            <w:r w:rsidRPr="0052753A">
              <w:rPr>
                <w:color w:val="000000"/>
                <w:sz w:val="21"/>
                <w:szCs w:val="21"/>
                <w:lang w:val="es-CO" w:eastAsia="es-CO"/>
              </w:rPr>
              <w:t>Las UPZ Zona Industrial y Puente Aranda corresponderán a demanda 1.</w:t>
            </w:r>
          </w:p>
        </w:tc>
      </w:tr>
      <w:tr w:rsidR="00C55021" w:rsidRPr="0052753A" w:rsidTr="0040218D">
        <w:trPr>
          <w:trHeight w:val="339"/>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La Candelaria</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1</w:t>
            </w:r>
          </w:p>
        </w:tc>
        <w:tc>
          <w:tcPr>
            <w:tcW w:w="4368"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Sin  excepciones</w:t>
            </w:r>
          </w:p>
        </w:tc>
      </w:tr>
      <w:tr w:rsidR="00C55021" w:rsidRPr="0052753A" w:rsidTr="0040218D">
        <w:trPr>
          <w:trHeight w:val="282"/>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Rafael Uribe Uribe</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0,8</w:t>
            </w:r>
          </w:p>
        </w:tc>
        <w:tc>
          <w:tcPr>
            <w:tcW w:w="4368" w:type="dxa"/>
            <w:gridSpan w:val="4"/>
            <w:vMerge/>
            <w:tcBorders>
              <w:top w:val="nil"/>
              <w:left w:val="nil"/>
              <w:bottom w:val="single" w:sz="4" w:space="0" w:color="auto"/>
              <w:right w:val="single" w:sz="4" w:space="0" w:color="auto"/>
            </w:tcBorders>
            <w:vAlign w:val="center"/>
            <w:hideMark/>
          </w:tcPr>
          <w:p w:rsidR="00C55021" w:rsidRPr="0052753A" w:rsidRDefault="00C55021" w:rsidP="0040218D">
            <w:pPr>
              <w:rPr>
                <w:color w:val="000000"/>
                <w:sz w:val="21"/>
                <w:szCs w:val="21"/>
                <w:lang w:val="es-CO" w:eastAsia="es-CO"/>
              </w:rPr>
            </w:pPr>
          </w:p>
        </w:tc>
      </w:tr>
      <w:tr w:rsidR="00C55021" w:rsidRPr="0052753A" w:rsidTr="0040218D">
        <w:trPr>
          <w:trHeight w:val="282"/>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single" w:sz="4" w:space="0" w:color="auto"/>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Ciudad Bolívar</w:t>
            </w:r>
          </w:p>
        </w:tc>
        <w:tc>
          <w:tcPr>
            <w:tcW w:w="773" w:type="dxa"/>
            <w:tcBorders>
              <w:top w:val="nil"/>
              <w:left w:val="nil"/>
              <w:bottom w:val="single" w:sz="4" w:space="0" w:color="auto"/>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0,8</w:t>
            </w:r>
          </w:p>
        </w:tc>
        <w:tc>
          <w:tcPr>
            <w:tcW w:w="4368" w:type="dxa"/>
            <w:gridSpan w:val="4"/>
            <w:vMerge/>
            <w:tcBorders>
              <w:top w:val="nil"/>
              <w:left w:val="nil"/>
              <w:bottom w:val="single" w:sz="4" w:space="0" w:color="auto"/>
              <w:right w:val="single" w:sz="4" w:space="0" w:color="auto"/>
            </w:tcBorders>
            <w:vAlign w:val="center"/>
            <w:hideMark/>
          </w:tcPr>
          <w:p w:rsidR="00C55021" w:rsidRPr="0052753A" w:rsidRDefault="00C55021" w:rsidP="0040218D">
            <w:pPr>
              <w:rPr>
                <w:color w:val="000000"/>
                <w:sz w:val="21"/>
                <w:szCs w:val="21"/>
                <w:lang w:val="es-CO" w:eastAsia="es-CO"/>
              </w:rPr>
            </w:pPr>
          </w:p>
        </w:tc>
      </w:tr>
      <w:tr w:rsidR="00C55021" w:rsidRPr="0052753A" w:rsidTr="0040218D">
        <w:trPr>
          <w:trHeight w:val="282"/>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nil"/>
              <w:right w:val="single" w:sz="4" w:space="0" w:color="auto"/>
            </w:tcBorders>
            <w:shd w:val="clear" w:color="auto" w:fill="auto"/>
            <w:noWrap/>
            <w:vAlign w:val="center"/>
            <w:hideMark/>
          </w:tcPr>
          <w:p w:rsidR="00C55021" w:rsidRPr="0052753A" w:rsidRDefault="00C55021" w:rsidP="0040218D">
            <w:pPr>
              <w:rPr>
                <w:b/>
                <w:color w:val="000000"/>
                <w:sz w:val="21"/>
                <w:szCs w:val="21"/>
                <w:lang w:val="es-CO" w:eastAsia="es-CO"/>
              </w:rPr>
            </w:pPr>
            <w:r w:rsidRPr="0052753A">
              <w:rPr>
                <w:b/>
                <w:color w:val="000000"/>
                <w:sz w:val="21"/>
                <w:szCs w:val="21"/>
                <w:lang w:val="es-CO" w:eastAsia="es-CO"/>
              </w:rPr>
              <w:t>Sumapaz</w:t>
            </w:r>
          </w:p>
        </w:tc>
        <w:tc>
          <w:tcPr>
            <w:tcW w:w="773" w:type="dxa"/>
            <w:tcBorders>
              <w:top w:val="nil"/>
              <w:left w:val="nil"/>
              <w:bottom w:val="nil"/>
              <w:right w:val="single" w:sz="4" w:space="0" w:color="auto"/>
            </w:tcBorders>
            <w:shd w:val="clear" w:color="auto" w:fill="auto"/>
            <w:noWrap/>
            <w:vAlign w:val="bottom"/>
            <w:hideMark/>
          </w:tcPr>
          <w:p w:rsidR="00C55021" w:rsidRPr="0052753A" w:rsidRDefault="00C55021" w:rsidP="0040218D">
            <w:pPr>
              <w:jc w:val="center"/>
              <w:rPr>
                <w:color w:val="000000"/>
                <w:sz w:val="21"/>
                <w:szCs w:val="21"/>
                <w:lang w:val="es-CO" w:eastAsia="es-CO"/>
              </w:rPr>
            </w:pPr>
            <w:r w:rsidRPr="0052753A">
              <w:rPr>
                <w:color w:val="000000"/>
                <w:sz w:val="21"/>
                <w:szCs w:val="21"/>
                <w:lang w:val="es-CO" w:eastAsia="es-CO"/>
              </w:rPr>
              <w:t>0,8</w:t>
            </w:r>
          </w:p>
        </w:tc>
        <w:tc>
          <w:tcPr>
            <w:tcW w:w="4368" w:type="dxa"/>
            <w:gridSpan w:val="4"/>
            <w:vMerge/>
            <w:tcBorders>
              <w:top w:val="nil"/>
              <w:left w:val="nil"/>
              <w:bottom w:val="nil"/>
              <w:right w:val="single" w:sz="4" w:space="0" w:color="auto"/>
            </w:tcBorders>
            <w:vAlign w:val="center"/>
            <w:hideMark/>
          </w:tcPr>
          <w:p w:rsidR="00C55021" w:rsidRPr="0052753A" w:rsidRDefault="00C55021" w:rsidP="0040218D">
            <w:pPr>
              <w:rPr>
                <w:color w:val="000000"/>
                <w:sz w:val="21"/>
                <w:szCs w:val="21"/>
                <w:lang w:val="es-CO" w:eastAsia="es-CO"/>
              </w:rPr>
            </w:pPr>
          </w:p>
        </w:tc>
      </w:tr>
      <w:tr w:rsidR="00C55021" w:rsidRPr="0052753A" w:rsidTr="0040218D">
        <w:trPr>
          <w:trHeight w:val="325"/>
        </w:trPr>
        <w:tc>
          <w:tcPr>
            <w:tcW w:w="1233"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C55021" w:rsidRPr="0052753A" w:rsidRDefault="00C55021" w:rsidP="0040218D">
            <w:pPr>
              <w:jc w:val="center"/>
              <w:rPr>
                <w:b/>
                <w:color w:val="000000"/>
                <w:sz w:val="21"/>
                <w:szCs w:val="21"/>
                <w:lang w:val="es-CO" w:eastAsia="es-CO"/>
              </w:rPr>
            </w:pPr>
            <w:r w:rsidRPr="0052753A">
              <w:rPr>
                <w:b/>
                <w:color w:val="000000"/>
                <w:sz w:val="21"/>
                <w:szCs w:val="21"/>
                <w:lang w:val="es-CO" w:eastAsia="es-CO"/>
              </w:rPr>
              <w:t>FTV</w:t>
            </w:r>
          </w:p>
        </w:tc>
        <w:tc>
          <w:tcPr>
            <w:tcW w:w="7709" w:type="dxa"/>
            <w:gridSpan w:val="6"/>
            <w:vMerge w:val="restart"/>
            <w:tcBorders>
              <w:top w:val="single" w:sz="4" w:space="0" w:color="auto"/>
              <w:left w:val="single" w:sz="4" w:space="0" w:color="auto"/>
              <w:bottom w:val="nil"/>
              <w:right w:val="single" w:sz="8" w:space="0" w:color="000000"/>
            </w:tcBorders>
            <w:shd w:val="clear" w:color="auto" w:fill="auto"/>
            <w:vAlign w:val="bottom"/>
            <w:hideMark/>
          </w:tcPr>
          <w:p w:rsidR="00C55021" w:rsidRPr="0052753A" w:rsidRDefault="00C55021" w:rsidP="0040218D">
            <w:pPr>
              <w:rPr>
                <w:color w:val="000000"/>
                <w:sz w:val="21"/>
                <w:szCs w:val="21"/>
                <w:lang w:val="es-CO" w:eastAsia="es-CO"/>
              </w:rPr>
            </w:pPr>
            <w:r w:rsidRPr="0052753A">
              <w:rPr>
                <w:b/>
                <w:color w:val="000000"/>
                <w:sz w:val="21"/>
                <w:szCs w:val="21"/>
                <w:lang w:val="es-CO" w:eastAsia="es-CO"/>
              </w:rPr>
              <w:t>Factor por Tipo de Vehículo:</w:t>
            </w:r>
            <w:r w:rsidRPr="0052753A">
              <w:rPr>
                <w:color w:val="000000"/>
                <w:sz w:val="21"/>
                <w:szCs w:val="21"/>
                <w:lang w:val="es-CO" w:eastAsia="es-CO"/>
              </w:rPr>
              <w:t xml:space="preserve"> factor que fluctúa entre 0,1 y 1,0 dependiendo del tipo de vehículo que sea estacionado. (automóviles, camperos, camionetas, vehículos pesados, motocicletas y bicicletas).                                      </w:t>
            </w:r>
          </w:p>
        </w:tc>
      </w:tr>
      <w:tr w:rsidR="00C55021" w:rsidRPr="0052753A" w:rsidTr="0040218D">
        <w:trPr>
          <w:trHeight w:val="282"/>
        </w:trPr>
        <w:tc>
          <w:tcPr>
            <w:tcW w:w="1233" w:type="dxa"/>
            <w:vMerge/>
            <w:tcBorders>
              <w:top w:val="single" w:sz="4" w:space="0" w:color="auto"/>
              <w:left w:val="single" w:sz="8" w:space="0" w:color="auto"/>
              <w:bottom w:val="single" w:sz="4" w:space="0" w:color="000000"/>
              <w:right w:val="single" w:sz="4" w:space="0" w:color="auto"/>
            </w:tcBorders>
            <w:vAlign w:val="center"/>
            <w:hideMark/>
          </w:tcPr>
          <w:p w:rsidR="00C55021" w:rsidRPr="0052753A" w:rsidRDefault="00C55021" w:rsidP="0040218D">
            <w:pPr>
              <w:rPr>
                <w:b/>
                <w:color w:val="000000"/>
                <w:sz w:val="21"/>
                <w:szCs w:val="21"/>
                <w:lang w:val="es-CO" w:eastAsia="es-CO"/>
              </w:rPr>
            </w:pPr>
          </w:p>
        </w:tc>
        <w:tc>
          <w:tcPr>
            <w:tcW w:w="7709" w:type="dxa"/>
            <w:gridSpan w:val="6"/>
            <w:vMerge/>
            <w:tcBorders>
              <w:top w:val="single" w:sz="4" w:space="0" w:color="auto"/>
              <w:left w:val="single" w:sz="4" w:space="0" w:color="auto"/>
              <w:bottom w:val="nil"/>
              <w:right w:val="single" w:sz="8" w:space="0" w:color="000000"/>
            </w:tcBorders>
            <w:vAlign w:val="center"/>
            <w:hideMark/>
          </w:tcPr>
          <w:p w:rsidR="00C55021" w:rsidRPr="0052753A" w:rsidRDefault="00C55021" w:rsidP="0040218D">
            <w:pPr>
              <w:rPr>
                <w:color w:val="000000"/>
                <w:sz w:val="21"/>
                <w:szCs w:val="21"/>
                <w:lang w:val="es-CO" w:eastAsia="es-CO"/>
              </w:rPr>
            </w:pPr>
          </w:p>
        </w:tc>
      </w:tr>
      <w:tr w:rsidR="00C55021" w:rsidRPr="0052753A" w:rsidTr="0040218D">
        <w:trPr>
          <w:trHeight w:val="282"/>
        </w:trPr>
        <w:tc>
          <w:tcPr>
            <w:tcW w:w="1233" w:type="dxa"/>
            <w:vMerge/>
            <w:tcBorders>
              <w:top w:val="single" w:sz="4" w:space="0" w:color="auto"/>
              <w:left w:val="single" w:sz="8" w:space="0" w:color="auto"/>
              <w:bottom w:val="single" w:sz="4" w:space="0" w:color="000000"/>
              <w:right w:val="single" w:sz="4" w:space="0" w:color="auto"/>
            </w:tcBorders>
            <w:vAlign w:val="center"/>
            <w:hideMark/>
          </w:tcPr>
          <w:p w:rsidR="00C55021" w:rsidRPr="0052753A" w:rsidRDefault="00C55021" w:rsidP="0040218D">
            <w:pPr>
              <w:rPr>
                <w:b/>
                <w:color w:val="000000"/>
                <w:sz w:val="21"/>
                <w:szCs w:val="21"/>
                <w:lang w:val="es-CO" w:eastAsia="es-CO"/>
              </w:rPr>
            </w:pPr>
          </w:p>
        </w:tc>
        <w:tc>
          <w:tcPr>
            <w:tcW w:w="7709" w:type="dxa"/>
            <w:gridSpan w:val="6"/>
            <w:vMerge/>
            <w:tcBorders>
              <w:top w:val="single" w:sz="4" w:space="0" w:color="auto"/>
              <w:left w:val="single" w:sz="4" w:space="0" w:color="auto"/>
              <w:bottom w:val="nil"/>
              <w:right w:val="single" w:sz="8" w:space="0" w:color="000000"/>
            </w:tcBorders>
            <w:vAlign w:val="center"/>
            <w:hideMark/>
          </w:tcPr>
          <w:p w:rsidR="00C55021" w:rsidRPr="0052753A" w:rsidRDefault="00C55021" w:rsidP="0040218D">
            <w:pPr>
              <w:rPr>
                <w:color w:val="000000"/>
                <w:sz w:val="21"/>
                <w:szCs w:val="21"/>
                <w:lang w:val="es-CO" w:eastAsia="es-CO"/>
              </w:rPr>
            </w:pPr>
          </w:p>
        </w:tc>
      </w:tr>
      <w:tr w:rsidR="00C55021" w:rsidRPr="0052753A" w:rsidTr="0040218D">
        <w:trPr>
          <w:trHeight w:val="169"/>
        </w:trPr>
        <w:tc>
          <w:tcPr>
            <w:tcW w:w="1233" w:type="dxa"/>
            <w:vMerge/>
            <w:tcBorders>
              <w:top w:val="single" w:sz="4" w:space="0" w:color="auto"/>
              <w:left w:val="single" w:sz="8" w:space="0" w:color="auto"/>
              <w:bottom w:val="single" w:sz="4" w:space="0" w:color="000000"/>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nil"/>
              <w:right w:val="nil"/>
            </w:tcBorders>
            <w:shd w:val="clear" w:color="auto" w:fill="auto"/>
            <w:noWrap/>
            <w:vAlign w:val="bottom"/>
            <w:hideMark/>
          </w:tcPr>
          <w:p w:rsidR="00C55021" w:rsidRPr="0052753A" w:rsidRDefault="00C55021" w:rsidP="0040218D">
            <w:pPr>
              <w:rPr>
                <w:color w:val="000000"/>
                <w:sz w:val="21"/>
                <w:szCs w:val="21"/>
                <w:lang w:val="es-CO" w:eastAsia="es-CO"/>
              </w:rPr>
            </w:pPr>
            <w:r w:rsidRPr="0052753A">
              <w:rPr>
                <w:color w:val="000000"/>
                <w:sz w:val="21"/>
                <w:szCs w:val="21"/>
                <w:lang w:val="es-CO" w:eastAsia="es-CO"/>
              </w:rPr>
              <w:t> </w:t>
            </w:r>
          </w:p>
        </w:tc>
        <w:tc>
          <w:tcPr>
            <w:tcW w:w="773" w:type="dxa"/>
            <w:tcBorders>
              <w:top w:val="nil"/>
              <w:left w:val="nil"/>
              <w:bottom w:val="nil"/>
              <w:right w:val="nil"/>
            </w:tcBorders>
            <w:shd w:val="clear" w:color="auto" w:fill="auto"/>
            <w:vAlign w:val="bottom"/>
            <w:hideMark/>
          </w:tcPr>
          <w:p w:rsidR="00C55021" w:rsidRPr="0052753A" w:rsidRDefault="00C55021" w:rsidP="0040218D">
            <w:pPr>
              <w:rPr>
                <w:color w:val="000000"/>
                <w:sz w:val="21"/>
                <w:szCs w:val="21"/>
                <w:lang w:val="es-CO" w:eastAsia="es-CO"/>
              </w:rPr>
            </w:pPr>
          </w:p>
        </w:tc>
        <w:tc>
          <w:tcPr>
            <w:tcW w:w="946" w:type="dxa"/>
            <w:tcBorders>
              <w:top w:val="nil"/>
              <w:left w:val="nil"/>
              <w:bottom w:val="nil"/>
              <w:right w:val="nil"/>
            </w:tcBorders>
            <w:shd w:val="clear" w:color="auto" w:fill="auto"/>
            <w:vAlign w:val="bottom"/>
            <w:hideMark/>
          </w:tcPr>
          <w:p w:rsidR="00C55021" w:rsidRPr="0052753A" w:rsidRDefault="00C55021" w:rsidP="0040218D">
            <w:pPr>
              <w:rPr>
                <w:sz w:val="21"/>
                <w:szCs w:val="21"/>
                <w:lang w:val="es-CO" w:eastAsia="es-CO"/>
              </w:rPr>
            </w:pPr>
          </w:p>
        </w:tc>
        <w:tc>
          <w:tcPr>
            <w:tcW w:w="946" w:type="dxa"/>
            <w:tcBorders>
              <w:top w:val="nil"/>
              <w:left w:val="nil"/>
              <w:bottom w:val="nil"/>
              <w:right w:val="nil"/>
            </w:tcBorders>
            <w:shd w:val="clear" w:color="auto" w:fill="auto"/>
            <w:vAlign w:val="bottom"/>
            <w:hideMark/>
          </w:tcPr>
          <w:p w:rsidR="00C55021" w:rsidRPr="0052753A" w:rsidRDefault="00C55021" w:rsidP="0040218D">
            <w:pPr>
              <w:rPr>
                <w:sz w:val="21"/>
                <w:szCs w:val="21"/>
                <w:lang w:val="es-CO" w:eastAsia="es-CO"/>
              </w:rPr>
            </w:pPr>
          </w:p>
        </w:tc>
        <w:tc>
          <w:tcPr>
            <w:tcW w:w="1268" w:type="dxa"/>
            <w:tcBorders>
              <w:top w:val="nil"/>
              <w:left w:val="nil"/>
              <w:bottom w:val="nil"/>
              <w:right w:val="nil"/>
            </w:tcBorders>
            <w:shd w:val="clear" w:color="auto" w:fill="auto"/>
            <w:vAlign w:val="bottom"/>
            <w:hideMark/>
          </w:tcPr>
          <w:p w:rsidR="00C55021" w:rsidRPr="0052753A" w:rsidRDefault="00C55021" w:rsidP="0040218D">
            <w:pPr>
              <w:rPr>
                <w:sz w:val="21"/>
                <w:szCs w:val="21"/>
                <w:lang w:val="es-CO" w:eastAsia="es-CO"/>
              </w:rPr>
            </w:pPr>
          </w:p>
        </w:tc>
        <w:tc>
          <w:tcPr>
            <w:tcW w:w="1206" w:type="dxa"/>
            <w:tcBorders>
              <w:top w:val="nil"/>
              <w:left w:val="nil"/>
              <w:bottom w:val="nil"/>
              <w:right w:val="single" w:sz="8" w:space="0" w:color="auto"/>
            </w:tcBorders>
            <w:shd w:val="clear" w:color="auto" w:fill="auto"/>
            <w:vAlign w:val="bottom"/>
            <w:hideMark/>
          </w:tcPr>
          <w:p w:rsidR="00C55021" w:rsidRPr="0052753A" w:rsidRDefault="00C55021" w:rsidP="0040218D">
            <w:pPr>
              <w:rPr>
                <w:color w:val="000000"/>
                <w:sz w:val="21"/>
                <w:szCs w:val="21"/>
                <w:lang w:val="es-CO" w:eastAsia="es-CO"/>
              </w:rPr>
            </w:pPr>
            <w:r w:rsidRPr="0052753A">
              <w:rPr>
                <w:color w:val="000000"/>
                <w:sz w:val="21"/>
                <w:szCs w:val="21"/>
                <w:lang w:val="es-CO" w:eastAsia="es-CO"/>
              </w:rPr>
              <w:t> </w:t>
            </w:r>
          </w:p>
        </w:tc>
      </w:tr>
      <w:tr w:rsidR="00C55021" w:rsidRPr="0052753A" w:rsidTr="0040218D">
        <w:trPr>
          <w:trHeight w:val="282"/>
        </w:trPr>
        <w:tc>
          <w:tcPr>
            <w:tcW w:w="1233" w:type="dxa"/>
            <w:vMerge/>
            <w:tcBorders>
              <w:top w:val="single" w:sz="4" w:space="0" w:color="auto"/>
              <w:left w:val="single" w:sz="8" w:space="0" w:color="auto"/>
              <w:bottom w:val="single" w:sz="4" w:space="0" w:color="000000"/>
              <w:right w:val="single" w:sz="4" w:space="0" w:color="auto"/>
            </w:tcBorders>
            <w:vAlign w:val="center"/>
            <w:hideMark/>
          </w:tcPr>
          <w:p w:rsidR="00C55021" w:rsidRPr="0052753A" w:rsidRDefault="00C55021" w:rsidP="0040218D">
            <w:pPr>
              <w:rPr>
                <w:b/>
                <w:color w:val="000000"/>
                <w:sz w:val="21"/>
                <w:szCs w:val="21"/>
                <w:lang w:val="es-CO" w:eastAsia="es-CO"/>
              </w:rPr>
            </w:pPr>
          </w:p>
        </w:tc>
        <w:tc>
          <w:tcPr>
            <w:tcW w:w="7709" w:type="dxa"/>
            <w:gridSpan w:val="6"/>
            <w:vMerge w:val="restart"/>
            <w:tcBorders>
              <w:top w:val="nil"/>
              <w:left w:val="single" w:sz="4" w:space="0" w:color="auto"/>
              <w:bottom w:val="nil"/>
              <w:right w:val="single" w:sz="8" w:space="0" w:color="000000"/>
            </w:tcBorders>
            <w:shd w:val="clear" w:color="auto" w:fill="auto"/>
            <w:vAlign w:val="bottom"/>
            <w:hideMark/>
          </w:tcPr>
          <w:p w:rsidR="00C55021" w:rsidRPr="0052753A" w:rsidRDefault="00C55021" w:rsidP="0040218D">
            <w:pPr>
              <w:rPr>
                <w:color w:val="000000"/>
                <w:sz w:val="21"/>
                <w:szCs w:val="21"/>
                <w:lang w:val="es-CO" w:eastAsia="es-CO"/>
              </w:rPr>
            </w:pPr>
            <w:r w:rsidRPr="0052753A">
              <w:rPr>
                <w:color w:val="000000"/>
                <w:sz w:val="21"/>
                <w:szCs w:val="21"/>
                <w:lang w:val="es-CO" w:eastAsia="es-CO"/>
              </w:rPr>
              <w:t>Para efectos del presente Decreto el factor para automóviles, camperos, camionetas y vehículos pesados será de 1,0.</w:t>
            </w:r>
          </w:p>
        </w:tc>
      </w:tr>
      <w:tr w:rsidR="00C55021" w:rsidRPr="0052753A" w:rsidTr="0040218D">
        <w:trPr>
          <w:trHeight w:val="282"/>
        </w:trPr>
        <w:tc>
          <w:tcPr>
            <w:tcW w:w="1233" w:type="dxa"/>
            <w:vMerge/>
            <w:tcBorders>
              <w:top w:val="single" w:sz="4" w:space="0" w:color="auto"/>
              <w:left w:val="single" w:sz="8" w:space="0" w:color="auto"/>
              <w:bottom w:val="single" w:sz="4" w:space="0" w:color="000000"/>
              <w:right w:val="single" w:sz="4" w:space="0" w:color="auto"/>
            </w:tcBorders>
            <w:vAlign w:val="center"/>
            <w:hideMark/>
          </w:tcPr>
          <w:p w:rsidR="00C55021" w:rsidRPr="0052753A" w:rsidRDefault="00C55021" w:rsidP="0040218D">
            <w:pPr>
              <w:rPr>
                <w:b/>
                <w:color w:val="000000"/>
                <w:sz w:val="21"/>
                <w:szCs w:val="21"/>
                <w:lang w:val="es-CO" w:eastAsia="es-CO"/>
              </w:rPr>
            </w:pPr>
          </w:p>
        </w:tc>
        <w:tc>
          <w:tcPr>
            <w:tcW w:w="7709" w:type="dxa"/>
            <w:gridSpan w:val="6"/>
            <w:vMerge/>
            <w:tcBorders>
              <w:top w:val="nil"/>
              <w:left w:val="single" w:sz="4" w:space="0" w:color="auto"/>
              <w:bottom w:val="nil"/>
              <w:right w:val="single" w:sz="8" w:space="0" w:color="000000"/>
            </w:tcBorders>
            <w:vAlign w:val="center"/>
            <w:hideMark/>
          </w:tcPr>
          <w:p w:rsidR="00C55021" w:rsidRPr="0052753A" w:rsidRDefault="00C55021" w:rsidP="0040218D">
            <w:pPr>
              <w:rPr>
                <w:color w:val="000000"/>
                <w:sz w:val="21"/>
                <w:szCs w:val="21"/>
                <w:lang w:val="es-CO" w:eastAsia="es-CO"/>
              </w:rPr>
            </w:pPr>
          </w:p>
        </w:tc>
      </w:tr>
      <w:tr w:rsidR="00C55021" w:rsidRPr="0052753A" w:rsidTr="0040218D">
        <w:trPr>
          <w:trHeight w:val="169"/>
        </w:trPr>
        <w:tc>
          <w:tcPr>
            <w:tcW w:w="1233" w:type="dxa"/>
            <w:vMerge/>
            <w:tcBorders>
              <w:top w:val="single" w:sz="4" w:space="0" w:color="auto"/>
              <w:left w:val="single" w:sz="8" w:space="0" w:color="auto"/>
              <w:bottom w:val="single" w:sz="4" w:space="0" w:color="000000"/>
              <w:right w:val="single" w:sz="4" w:space="0" w:color="auto"/>
            </w:tcBorders>
            <w:vAlign w:val="center"/>
            <w:hideMark/>
          </w:tcPr>
          <w:p w:rsidR="00C55021" w:rsidRPr="0052753A" w:rsidRDefault="00C55021" w:rsidP="0040218D">
            <w:pPr>
              <w:rPr>
                <w:b/>
                <w:color w:val="000000"/>
                <w:sz w:val="21"/>
                <w:szCs w:val="21"/>
                <w:lang w:val="es-CO" w:eastAsia="es-CO"/>
              </w:rPr>
            </w:pPr>
          </w:p>
        </w:tc>
        <w:tc>
          <w:tcPr>
            <w:tcW w:w="2566" w:type="dxa"/>
            <w:tcBorders>
              <w:top w:val="nil"/>
              <w:left w:val="nil"/>
              <w:bottom w:val="nil"/>
              <w:right w:val="nil"/>
            </w:tcBorders>
            <w:shd w:val="clear" w:color="auto" w:fill="auto"/>
            <w:noWrap/>
            <w:vAlign w:val="bottom"/>
            <w:hideMark/>
          </w:tcPr>
          <w:p w:rsidR="00C55021" w:rsidRPr="0052753A" w:rsidRDefault="00C55021" w:rsidP="0040218D">
            <w:pPr>
              <w:rPr>
                <w:color w:val="000000"/>
                <w:sz w:val="21"/>
                <w:szCs w:val="21"/>
                <w:lang w:val="es-CO" w:eastAsia="es-CO"/>
              </w:rPr>
            </w:pPr>
            <w:r w:rsidRPr="0052753A">
              <w:rPr>
                <w:color w:val="000000"/>
                <w:sz w:val="21"/>
                <w:szCs w:val="21"/>
                <w:lang w:val="es-CO" w:eastAsia="es-CO"/>
              </w:rPr>
              <w:t> </w:t>
            </w:r>
          </w:p>
        </w:tc>
        <w:tc>
          <w:tcPr>
            <w:tcW w:w="773" w:type="dxa"/>
            <w:tcBorders>
              <w:top w:val="nil"/>
              <w:left w:val="nil"/>
              <w:bottom w:val="nil"/>
              <w:right w:val="nil"/>
            </w:tcBorders>
            <w:shd w:val="clear" w:color="auto" w:fill="auto"/>
            <w:vAlign w:val="bottom"/>
            <w:hideMark/>
          </w:tcPr>
          <w:p w:rsidR="00C55021" w:rsidRPr="0052753A" w:rsidRDefault="00C55021" w:rsidP="0040218D">
            <w:pPr>
              <w:rPr>
                <w:color w:val="000000"/>
                <w:sz w:val="21"/>
                <w:szCs w:val="21"/>
                <w:lang w:val="es-CO" w:eastAsia="es-CO"/>
              </w:rPr>
            </w:pPr>
          </w:p>
        </w:tc>
        <w:tc>
          <w:tcPr>
            <w:tcW w:w="946" w:type="dxa"/>
            <w:tcBorders>
              <w:top w:val="nil"/>
              <w:left w:val="nil"/>
              <w:bottom w:val="nil"/>
              <w:right w:val="nil"/>
            </w:tcBorders>
            <w:shd w:val="clear" w:color="auto" w:fill="auto"/>
            <w:vAlign w:val="bottom"/>
            <w:hideMark/>
          </w:tcPr>
          <w:p w:rsidR="00C55021" w:rsidRPr="0052753A" w:rsidRDefault="00C55021" w:rsidP="0040218D">
            <w:pPr>
              <w:rPr>
                <w:sz w:val="21"/>
                <w:szCs w:val="21"/>
                <w:lang w:val="es-CO" w:eastAsia="es-CO"/>
              </w:rPr>
            </w:pPr>
          </w:p>
        </w:tc>
        <w:tc>
          <w:tcPr>
            <w:tcW w:w="946" w:type="dxa"/>
            <w:tcBorders>
              <w:top w:val="nil"/>
              <w:left w:val="nil"/>
              <w:bottom w:val="nil"/>
              <w:right w:val="nil"/>
            </w:tcBorders>
            <w:shd w:val="clear" w:color="auto" w:fill="auto"/>
            <w:vAlign w:val="bottom"/>
            <w:hideMark/>
          </w:tcPr>
          <w:p w:rsidR="00C55021" w:rsidRPr="0052753A" w:rsidRDefault="00C55021" w:rsidP="0040218D">
            <w:pPr>
              <w:rPr>
                <w:sz w:val="21"/>
                <w:szCs w:val="21"/>
                <w:lang w:val="es-CO" w:eastAsia="es-CO"/>
              </w:rPr>
            </w:pPr>
          </w:p>
        </w:tc>
        <w:tc>
          <w:tcPr>
            <w:tcW w:w="1268" w:type="dxa"/>
            <w:tcBorders>
              <w:top w:val="nil"/>
              <w:left w:val="nil"/>
              <w:bottom w:val="nil"/>
              <w:right w:val="nil"/>
            </w:tcBorders>
            <w:shd w:val="clear" w:color="auto" w:fill="auto"/>
            <w:vAlign w:val="bottom"/>
            <w:hideMark/>
          </w:tcPr>
          <w:p w:rsidR="00C55021" w:rsidRPr="0052753A" w:rsidRDefault="00C55021" w:rsidP="0040218D">
            <w:pPr>
              <w:rPr>
                <w:sz w:val="21"/>
                <w:szCs w:val="21"/>
                <w:lang w:val="es-CO" w:eastAsia="es-CO"/>
              </w:rPr>
            </w:pPr>
          </w:p>
        </w:tc>
        <w:tc>
          <w:tcPr>
            <w:tcW w:w="1206" w:type="dxa"/>
            <w:tcBorders>
              <w:top w:val="nil"/>
              <w:left w:val="nil"/>
              <w:bottom w:val="nil"/>
              <w:right w:val="single" w:sz="8" w:space="0" w:color="auto"/>
            </w:tcBorders>
            <w:shd w:val="clear" w:color="auto" w:fill="auto"/>
            <w:vAlign w:val="bottom"/>
            <w:hideMark/>
          </w:tcPr>
          <w:p w:rsidR="00C55021" w:rsidRPr="0052753A" w:rsidRDefault="00C55021" w:rsidP="0040218D">
            <w:pPr>
              <w:rPr>
                <w:color w:val="000000"/>
                <w:sz w:val="21"/>
                <w:szCs w:val="21"/>
                <w:lang w:val="es-CO" w:eastAsia="es-CO"/>
              </w:rPr>
            </w:pPr>
            <w:r w:rsidRPr="0052753A">
              <w:rPr>
                <w:color w:val="000000"/>
                <w:sz w:val="21"/>
                <w:szCs w:val="21"/>
                <w:lang w:val="es-CO" w:eastAsia="es-CO"/>
              </w:rPr>
              <w:t> </w:t>
            </w:r>
          </w:p>
        </w:tc>
      </w:tr>
      <w:tr w:rsidR="00C55021" w:rsidRPr="0052753A" w:rsidTr="0052753A">
        <w:trPr>
          <w:trHeight w:val="70"/>
        </w:trPr>
        <w:tc>
          <w:tcPr>
            <w:tcW w:w="1233" w:type="dxa"/>
            <w:vMerge/>
            <w:tcBorders>
              <w:top w:val="single" w:sz="4" w:space="0" w:color="auto"/>
              <w:left w:val="single" w:sz="8" w:space="0" w:color="auto"/>
              <w:bottom w:val="single" w:sz="4" w:space="0" w:color="000000"/>
              <w:right w:val="single" w:sz="4" w:space="0" w:color="auto"/>
            </w:tcBorders>
            <w:vAlign w:val="center"/>
            <w:hideMark/>
          </w:tcPr>
          <w:p w:rsidR="00C55021" w:rsidRPr="0052753A" w:rsidRDefault="00C55021" w:rsidP="0040218D">
            <w:pPr>
              <w:rPr>
                <w:b/>
                <w:color w:val="000000"/>
                <w:sz w:val="21"/>
                <w:szCs w:val="21"/>
                <w:lang w:val="es-CO" w:eastAsia="es-CO"/>
              </w:rPr>
            </w:pPr>
          </w:p>
        </w:tc>
        <w:tc>
          <w:tcPr>
            <w:tcW w:w="7709" w:type="dxa"/>
            <w:gridSpan w:val="6"/>
            <w:tcBorders>
              <w:top w:val="nil"/>
              <w:left w:val="nil"/>
              <w:bottom w:val="single" w:sz="4" w:space="0" w:color="auto"/>
              <w:right w:val="single" w:sz="8" w:space="0" w:color="000000"/>
            </w:tcBorders>
            <w:shd w:val="clear" w:color="auto" w:fill="auto"/>
            <w:noWrap/>
            <w:vAlign w:val="bottom"/>
            <w:hideMark/>
          </w:tcPr>
          <w:p w:rsidR="00C55021" w:rsidRPr="0052753A" w:rsidRDefault="00C55021" w:rsidP="0040218D">
            <w:pPr>
              <w:rPr>
                <w:color w:val="000000"/>
                <w:sz w:val="21"/>
                <w:szCs w:val="21"/>
                <w:lang w:val="es-CO" w:eastAsia="es-CO"/>
              </w:rPr>
            </w:pPr>
            <w:r w:rsidRPr="0052753A">
              <w:rPr>
                <w:color w:val="000000"/>
                <w:sz w:val="21"/>
                <w:szCs w:val="21"/>
                <w:lang w:val="es-CO" w:eastAsia="es-CO"/>
              </w:rPr>
              <w:t>Para efectos del presente Decreto el factor para motocicletas será de 0,</w:t>
            </w:r>
            <w:r w:rsidR="00AD1AE3" w:rsidRPr="0052753A">
              <w:rPr>
                <w:color w:val="000000"/>
                <w:sz w:val="21"/>
                <w:szCs w:val="21"/>
                <w:lang w:val="es-CO" w:eastAsia="es-CO"/>
              </w:rPr>
              <w:t>7.</w:t>
            </w:r>
          </w:p>
        </w:tc>
      </w:tr>
      <w:tr w:rsidR="00C55021" w:rsidRPr="0052753A" w:rsidTr="0040218D">
        <w:trPr>
          <w:trHeight w:val="282"/>
        </w:trPr>
        <w:tc>
          <w:tcPr>
            <w:tcW w:w="1233" w:type="dxa"/>
            <w:vMerge w:val="restart"/>
            <w:tcBorders>
              <w:top w:val="nil"/>
              <w:left w:val="single" w:sz="8" w:space="0" w:color="auto"/>
              <w:bottom w:val="single" w:sz="4" w:space="0" w:color="auto"/>
              <w:right w:val="single" w:sz="4" w:space="0" w:color="auto"/>
            </w:tcBorders>
            <w:shd w:val="clear" w:color="auto" w:fill="auto"/>
            <w:vAlign w:val="center"/>
            <w:hideMark/>
          </w:tcPr>
          <w:p w:rsidR="00C55021" w:rsidRPr="0052753A" w:rsidRDefault="00C55021" w:rsidP="0040218D">
            <w:pPr>
              <w:jc w:val="center"/>
              <w:rPr>
                <w:b/>
                <w:color w:val="000000"/>
                <w:sz w:val="21"/>
                <w:szCs w:val="21"/>
                <w:lang w:val="es-CO" w:eastAsia="es-CO"/>
              </w:rPr>
            </w:pPr>
            <w:r w:rsidRPr="0052753A">
              <w:rPr>
                <w:b/>
                <w:color w:val="000000"/>
                <w:sz w:val="21"/>
                <w:szCs w:val="21"/>
                <w:lang w:val="es-CO" w:eastAsia="es-CO"/>
              </w:rPr>
              <w:t>FNS</w:t>
            </w:r>
          </w:p>
        </w:tc>
        <w:tc>
          <w:tcPr>
            <w:tcW w:w="7709" w:type="dxa"/>
            <w:gridSpan w:val="6"/>
            <w:vMerge w:val="restart"/>
            <w:tcBorders>
              <w:top w:val="nil"/>
              <w:left w:val="single" w:sz="4" w:space="0" w:color="auto"/>
              <w:bottom w:val="single" w:sz="4" w:space="0" w:color="auto"/>
              <w:right w:val="single" w:sz="8" w:space="0" w:color="000000"/>
            </w:tcBorders>
            <w:shd w:val="clear" w:color="auto" w:fill="auto"/>
            <w:vAlign w:val="bottom"/>
            <w:hideMark/>
          </w:tcPr>
          <w:p w:rsidR="00C55021" w:rsidRPr="0052753A" w:rsidRDefault="00C55021" w:rsidP="0040218D">
            <w:pPr>
              <w:rPr>
                <w:b/>
                <w:color w:val="000000"/>
                <w:sz w:val="21"/>
                <w:szCs w:val="21"/>
                <w:lang w:val="es-CO" w:eastAsia="es-CO"/>
              </w:rPr>
            </w:pPr>
          </w:p>
          <w:p w:rsidR="00C55021" w:rsidRPr="0052753A" w:rsidRDefault="00C55021" w:rsidP="0040218D">
            <w:pPr>
              <w:rPr>
                <w:color w:val="000000"/>
                <w:sz w:val="21"/>
                <w:szCs w:val="21"/>
                <w:lang w:val="es-CO" w:eastAsia="es-CO"/>
              </w:rPr>
            </w:pPr>
            <w:r w:rsidRPr="0052753A">
              <w:rPr>
                <w:b/>
                <w:color w:val="000000"/>
                <w:sz w:val="21"/>
                <w:szCs w:val="21"/>
                <w:lang w:val="es-CO" w:eastAsia="es-CO"/>
              </w:rPr>
              <w:t xml:space="preserve">Factor por Nivel de Servicio: </w:t>
            </w:r>
            <w:r w:rsidRPr="0052753A">
              <w:rPr>
                <w:color w:val="000000"/>
                <w:sz w:val="21"/>
                <w:szCs w:val="21"/>
                <w:lang w:val="es-CO" w:eastAsia="es-CO"/>
              </w:rPr>
              <w:t>factor asociado con las características físicas del estacionamiento que puede fluctuar entre 0,5 y 1,0.</w:t>
            </w:r>
          </w:p>
        </w:tc>
      </w:tr>
      <w:tr w:rsidR="00C55021" w:rsidRPr="0052753A" w:rsidTr="0052753A">
        <w:trPr>
          <w:trHeight w:val="241"/>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7709" w:type="dxa"/>
            <w:gridSpan w:val="6"/>
            <w:vMerge/>
            <w:tcBorders>
              <w:top w:val="nil"/>
              <w:left w:val="single" w:sz="4" w:space="0" w:color="auto"/>
              <w:bottom w:val="single" w:sz="4" w:space="0" w:color="auto"/>
              <w:right w:val="single" w:sz="8" w:space="0" w:color="000000"/>
            </w:tcBorders>
            <w:vAlign w:val="center"/>
            <w:hideMark/>
          </w:tcPr>
          <w:p w:rsidR="00C55021" w:rsidRPr="0052753A" w:rsidRDefault="00C55021" w:rsidP="0040218D">
            <w:pPr>
              <w:rPr>
                <w:color w:val="000000"/>
                <w:sz w:val="21"/>
                <w:szCs w:val="21"/>
                <w:lang w:val="es-CO" w:eastAsia="es-CO"/>
              </w:rPr>
            </w:pPr>
          </w:p>
        </w:tc>
      </w:tr>
      <w:tr w:rsidR="00C55021" w:rsidRPr="0052753A" w:rsidTr="00AD1AE3">
        <w:trPr>
          <w:trHeight w:val="201"/>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6502" w:type="dxa"/>
            <w:gridSpan w:val="5"/>
            <w:tcBorders>
              <w:top w:val="single" w:sz="4" w:space="0" w:color="auto"/>
              <w:left w:val="nil"/>
              <w:bottom w:val="single" w:sz="4" w:space="0" w:color="auto"/>
              <w:right w:val="single" w:sz="4" w:space="0" w:color="auto"/>
            </w:tcBorders>
            <w:shd w:val="clear" w:color="auto" w:fill="auto"/>
            <w:noWrap/>
            <w:vAlign w:val="center"/>
            <w:hideMark/>
          </w:tcPr>
          <w:p w:rsidR="00C55021" w:rsidRPr="0052753A" w:rsidRDefault="00C55021" w:rsidP="00C55021">
            <w:pPr>
              <w:jc w:val="center"/>
              <w:rPr>
                <w:b/>
                <w:color w:val="000000"/>
                <w:sz w:val="21"/>
                <w:szCs w:val="21"/>
                <w:lang w:val="es-CO" w:eastAsia="es-CO"/>
              </w:rPr>
            </w:pPr>
            <w:r w:rsidRPr="0052753A">
              <w:rPr>
                <w:b/>
                <w:color w:val="000000"/>
                <w:sz w:val="21"/>
                <w:szCs w:val="21"/>
                <w:lang w:val="es-CO" w:eastAsia="es-CO"/>
              </w:rPr>
              <w:t>Características del Estacionamiento</w:t>
            </w:r>
          </w:p>
        </w:tc>
        <w:tc>
          <w:tcPr>
            <w:tcW w:w="1206" w:type="dxa"/>
            <w:tcBorders>
              <w:top w:val="nil"/>
              <w:left w:val="nil"/>
              <w:bottom w:val="single" w:sz="4" w:space="0" w:color="auto"/>
              <w:right w:val="single" w:sz="8" w:space="0" w:color="auto"/>
            </w:tcBorders>
            <w:shd w:val="clear" w:color="auto" w:fill="auto"/>
            <w:noWrap/>
            <w:vAlign w:val="center"/>
            <w:hideMark/>
          </w:tcPr>
          <w:p w:rsidR="00C55021" w:rsidRPr="0052753A" w:rsidRDefault="00C55021" w:rsidP="00C55021">
            <w:pPr>
              <w:jc w:val="center"/>
              <w:rPr>
                <w:b/>
                <w:color w:val="000000"/>
                <w:sz w:val="21"/>
                <w:szCs w:val="21"/>
                <w:lang w:val="es-CO" w:eastAsia="es-CO"/>
              </w:rPr>
            </w:pPr>
            <w:r w:rsidRPr="0052753A">
              <w:rPr>
                <w:b/>
                <w:color w:val="000000"/>
                <w:sz w:val="21"/>
                <w:szCs w:val="21"/>
                <w:lang w:val="es-CO" w:eastAsia="es-CO"/>
              </w:rPr>
              <w:t>FNS</w:t>
            </w:r>
          </w:p>
        </w:tc>
      </w:tr>
      <w:tr w:rsidR="00C55021" w:rsidRPr="0052753A" w:rsidTr="00AD1AE3">
        <w:trPr>
          <w:trHeight w:val="360"/>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6502" w:type="dxa"/>
            <w:gridSpan w:val="5"/>
            <w:tcBorders>
              <w:top w:val="single" w:sz="4" w:space="0" w:color="auto"/>
              <w:left w:val="nil"/>
              <w:bottom w:val="single" w:sz="4" w:space="0" w:color="auto"/>
              <w:right w:val="single" w:sz="4" w:space="0" w:color="auto"/>
            </w:tcBorders>
            <w:shd w:val="clear" w:color="auto" w:fill="auto"/>
            <w:vAlign w:val="center"/>
            <w:hideMark/>
          </w:tcPr>
          <w:p w:rsidR="00C55021" w:rsidRPr="0052753A" w:rsidRDefault="00C55021" w:rsidP="00C55021">
            <w:pPr>
              <w:rPr>
                <w:color w:val="000000"/>
                <w:sz w:val="21"/>
                <w:szCs w:val="21"/>
                <w:lang w:val="es-CO" w:eastAsia="es-CO"/>
              </w:rPr>
            </w:pPr>
            <w:r w:rsidRPr="0052753A">
              <w:rPr>
                <w:color w:val="000000"/>
                <w:sz w:val="21"/>
                <w:szCs w:val="21"/>
                <w:lang w:val="es-CO" w:eastAsia="es-CO"/>
              </w:rPr>
              <w:t>En altura o subterráneo con dos o más niveles</w:t>
            </w:r>
          </w:p>
        </w:tc>
        <w:tc>
          <w:tcPr>
            <w:tcW w:w="1206" w:type="dxa"/>
            <w:tcBorders>
              <w:top w:val="nil"/>
              <w:left w:val="nil"/>
              <w:bottom w:val="single" w:sz="4" w:space="0" w:color="auto"/>
              <w:right w:val="single" w:sz="8" w:space="0" w:color="auto"/>
            </w:tcBorders>
            <w:shd w:val="clear" w:color="auto" w:fill="auto"/>
            <w:noWrap/>
            <w:vAlign w:val="center"/>
            <w:hideMark/>
          </w:tcPr>
          <w:p w:rsidR="00C55021" w:rsidRPr="0052753A" w:rsidRDefault="00C55021" w:rsidP="00C55021">
            <w:pPr>
              <w:rPr>
                <w:color w:val="000000"/>
                <w:sz w:val="21"/>
                <w:szCs w:val="21"/>
                <w:lang w:val="es-CO" w:eastAsia="es-CO"/>
              </w:rPr>
            </w:pPr>
            <w:r w:rsidRPr="0052753A">
              <w:rPr>
                <w:color w:val="000000"/>
                <w:sz w:val="21"/>
                <w:szCs w:val="21"/>
                <w:lang w:val="es-CO" w:eastAsia="es-CO"/>
              </w:rPr>
              <w:t>1,0</w:t>
            </w:r>
          </w:p>
        </w:tc>
      </w:tr>
      <w:tr w:rsidR="00C55021" w:rsidRPr="0052753A" w:rsidTr="0052753A">
        <w:trPr>
          <w:trHeight w:val="187"/>
        </w:trPr>
        <w:tc>
          <w:tcPr>
            <w:tcW w:w="1233" w:type="dxa"/>
            <w:vMerge/>
            <w:tcBorders>
              <w:top w:val="nil"/>
              <w:left w:val="single" w:sz="8" w:space="0" w:color="auto"/>
              <w:bottom w:val="single" w:sz="4" w:space="0" w:color="auto"/>
              <w:right w:val="single" w:sz="4" w:space="0" w:color="auto"/>
            </w:tcBorders>
            <w:vAlign w:val="center"/>
          </w:tcPr>
          <w:p w:rsidR="00C55021" w:rsidRPr="0052753A" w:rsidRDefault="00C55021" w:rsidP="0040218D">
            <w:pPr>
              <w:rPr>
                <w:b/>
                <w:color w:val="000000"/>
                <w:sz w:val="21"/>
                <w:szCs w:val="21"/>
                <w:lang w:val="es-CO" w:eastAsia="es-CO"/>
              </w:rPr>
            </w:pPr>
          </w:p>
        </w:tc>
        <w:tc>
          <w:tcPr>
            <w:tcW w:w="6502" w:type="dxa"/>
            <w:gridSpan w:val="5"/>
            <w:tcBorders>
              <w:top w:val="single" w:sz="4" w:space="0" w:color="auto"/>
              <w:left w:val="nil"/>
              <w:bottom w:val="single" w:sz="4" w:space="0" w:color="auto"/>
              <w:right w:val="single" w:sz="4" w:space="0" w:color="auto"/>
            </w:tcBorders>
            <w:shd w:val="clear" w:color="auto" w:fill="auto"/>
            <w:vAlign w:val="center"/>
          </w:tcPr>
          <w:p w:rsidR="00C55021" w:rsidRPr="0052753A" w:rsidRDefault="00C55021" w:rsidP="00C55021">
            <w:pPr>
              <w:rPr>
                <w:color w:val="000000"/>
                <w:sz w:val="21"/>
                <w:szCs w:val="21"/>
                <w:lang w:val="es-CO" w:eastAsia="es-CO"/>
              </w:rPr>
            </w:pPr>
            <w:r w:rsidRPr="0052753A">
              <w:rPr>
                <w:color w:val="000000"/>
                <w:sz w:val="21"/>
                <w:szCs w:val="21"/>
                <w:lang w:val="es-CO" w:eastAsia="es-CO"/>
              </w:rPr>
              <w:t>Subterráneo, un solo nivel y 50 cupos o más</w:t>
            </w:r>
          </w:p>
        </w:tc>
        <w:tc>
          <w:tcPr>
            <w:tcW w:w="1206" w:type="dxa"/>
            <w:tcBorders>
              <w:top w:val="single" w:sz="4" w:space="0" w:color="auto"/>
              <w:left w:val="nil"/>
              <w:bottom w:val="single" w:sz="4" w:space="0" w:color="auto"/>
              <w:right w:val="single" w:sz="4" w:space="0" w:color="auto"/>
            </w:tcBorders>
            <w:shd w:val="clear" w:color="auto" w:fill="auto"/>
            <w:vAlign w:val="center"/>
          </w:tcPr>
          <w:p w:rsidR="00C55021" w:rsidRPr="0052753A" w:rsidRDefault="00C55021" w:rsidP="00C55021">
            <w:pPr>
              <w:rPr>
                <w:color w:val="000000"/>
                <w:sz w:val="21"/>
                <w:szCs w:val="21"/>
                <w:lang w:val="es-CO" w:eastAsia="es-CO"/>
              </w:rPr>
            </w:pPr>
            <w:r w:rsidRPr="0052753A">
              <w:rPr>
                <w:color w:val="000000"/>
                <w:sz w:val="21"/>
                <w:szCs w:val="21"/>
                <w:lang w:val="es-CO" w:eastAsia="es-CO"/>
              </w:rPr>
              <w:t>0,9</w:t>
            </w:r>
          </w:p>
        </w:tc>
      </w:tr>
      <w:tr w:rsidR="00C55021" w:rsidRPr="0052753A" w:rsidTr="0052753A">
        <w:trPr>
          <w:trHeight w:val="360"/>
        </w:trPr>
        <w:tc>
          <w:tcPr>
            <w:tcW w:w="1233" w:type="dxa"/>
            <w:vMerge/>
            <w:tcBorders>
              <w:top w:val="nil"/>
              <w:left w:val="single" w:sz="8" w:space="0" w:color="auto"/>
              <w:bottom w:val="single" w:sz="4" w:space="0" w:color="auto"/>
              <w:right w:val="single" w:sz="4" w:space="0" w:color="auto"/>
            </w:tcBorders>
            <w:vAlign w:val="center"/>
          </w:tcPr>
          <w:p w:rsidR="00C55021" w:rsidRPr="0052753A" w:rsidRDefault="00C55021" w:rsidP="0040218D">
            <w:pPr>
              <w:rPr>
                <w:b/>
                <w:color w:val="000000"/>
                <w:sz w:val="21"/>
                <w:szCs w:val="21"/>
                <w:lang w:val="es-CO" w:eastAsia="es-CO"/>
              </w:rPr>
            </w:pPr>
          </w:p>
        </w:tc>
        <w:tc>
          <w:tcPr>
            <w:tcW w:w="6502" w:type="dxa"/>
            <w:gridSpan w:val="5"/>
            <w:tcBorders>
              <w:top w:val="single" w:sz="4" w:space="0" w:color="auto"/>
              <w:left w:val="nil"/>
              <w:bottom w:val="single" w:sz="4" w:space="0" w:color="auto"/>
              <w:right w:val="single" w:sz="4" w:space="0" w:color="auto"/>
            </w:tcBorders>
            <w:shd w:val="clear" w:color="auto" w:fill="auto"/>
            <w:vAlign w:val="center"/>
          </w:tcPr>
          <w:p w:rsidR="00C55021" w:rsidRPr="0052753A" w:rsidRDefault="00C55021" w:rsidP="00C55021">
            <w:pPr>
              <w:rPr>
                <w:color w:val="000000"/>
                <w:sz w:val="21"/>
                <w:szCs w:val="21"/>
                <w:lang w:val="es-CO" w:eastAsia="es-CO"/>
              </w:rPr>
            </w:pPr>
            <w:r w:rsidRPr="0052753A">
              <w:rPr>
                <w:color w:val="000000"/>
                <w:sz w:val="21"/>
                <w:szCs w:val="21"/>
                <w:lang w:val="es-CO" w:eastAsia="es-CO"/>
              </w:rPr>
              <w:t>Subterráneo, un solo nivel y con menos de 50 cupos</w:t>
            </w:r>
          </w:p>
        </w:tc>
        <w:tc>
          <w:tcPr>
            <w:tcW w:w="1206" w:type="dxa"/>
            <w:tcBorders>
              <w:top w:val="nil"/>
              <w:left w:val="nil"/>
              <w:bottom w:val="single" w:sz="4" w:space="0" w:color="auto"/>
              <w:right w:val="single" w:sz="8" w:space="0" w:color="auto"/>
            </w:tcBorders>
            <w:shd w:val="clear" w:color="auto" w:fill="auto"/>
            <w:vAlign w:val="center"/>
          </w:tcPr>
          <w:p w:rsidR="00C55021" w:rsidRPr="0052753A" w:rsidRDefault="00C55021" w:rsidP="00C55021">
            <w:pPr>
              <w:rPr>
                <w:color w:val="000000"/>
                <w:sz w:val="21"/>
                <w:szCs w:val="21"/>
                <w:lang w:val="es-CO" w:eastAsia="es-CO"/>
              </w:rPr>
            </w:pPr>
            <w:r w:rsidRPr="0052753A">
              <w:rPr>
                <w:color w:val="000000"/>
                <w:sz w:val="21"/>
                <w:szCs w:val="21"/>
                <w:lang w:val="es-CO" w:eastAsia="es-CO"/>
              </w:rPr>
              <w:t>0,8</w:t>
            </w:r>
          </w:p>
        </w:tc>
      </w:tr>
      <w:tr w:rsidR="00C55021" w:rsidRPr="0052753A" w:rsidTr="0052753A">
        <w:trPr>
          <w:trHeight w:val="266"/>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6502" w:type="dxa"/>
            <w:gridSpan w:val="5"/>
            <w:tcBorders>
              <w:top w:val="single" w:sz="4" w:space="0" w:color="auto"/>
              <w:left w:val="nil"/>
              <w:bottom w:val="single" w:sz="4" w:space="0" w:color="auto"/>
              <w:right w:val="single" w:sz="4" w:space="0" w:color="auto"/>
            </w:tcBorders>
            <w:shd w:val="clear" w:color="auto" w:fill="auto"/>
            <w:vAlign w:val="center"/>
            <w:hideMark/>
          </w:tcPr>
          <w:p w:rsidR="00C55021" w:rsidRPr="0052753A" w:rsidRDefault="00C55021" w:rsidP="00C55021">
            <w:pPr>
              <w:rPr>
                <w:color w:val="000000"/>
                <w:sz w:val="21"/>
                <w:szCs w:val="21"/>
                <w:lang w:val="es-CO" w:eastAsia="es-CO"/>
              </w:rPr>
            </w:pPr>
            <w:r w:rsidRPr="0052753A">
              <w:rPr>
                <w:color w:val="000000"/>
                <w:sz w:val="21"/>
                <w:szCs w:val="21"/>
                <w:lang w:val="es-CO" w:eastAsia="es-CO"/>
              </w:rPr>
              <w:t>A nivel, piso en concreto, asfalto o gravilla lavada de río compactada, y con 50 cupos o más</w:t>
            </w:r>
          </w:p>
        </w:tc>
        <w:tc>
          <w:tcPr>
            <w:tcW w:w="1206" w:type="dxa"/>
            <w:tcBorders>
              <w:top w:val="nil"/>
              <w:left w:val="nil"/>
              <w:bottom w:val="single" w:sz="4" w:space="0" w:color="auto"/>
              <w:right w:val="single" w:sz="8" w:space="0" w:color="auto"/>
            </w:tcBorders>
            <w:shd w:val="clear" w:color="auto" w:fill="auto"/>
            <w:vAlign w:val="center"/>
            <w:hideMark/>
          </w:tcPr>
          <w:p w:rsidR="00C55021" w:rsidRPr="0052753A" w:rsidRDefault="00C55021" w:rsidP="00C55021">
            <w:pPr>
              <w:rPr>
                <w:color w:val="000000"/>
                <w:sz w:val="21"/>
                <w:szCs w:val="21"/>
                <w:lang w:val="es-CO" w:eastAsia="es-CO"/>
              </w:rPr>
            </w:pPr>
            <w:r w:rsidRPr="0052753A">
              <w:rPr>
                <w:color w:val="000000"/>
                <w:sz w:val="21"/>
                <w:szCs w:val="21"/>
                <w:lang w:val="es-CO" w:eastAsia="es-CO"/>
              </w:rPr>
              <w:t>0,7</w:t>
            </w:r>
          </w:p>
        </w:tc>
      </w:tr>
      <w:tr w:rsidR="00C55021" w:rsidRPr="0052753A" w:rsidTr="0052753A">
        <w:trPr>
          <w:trHeight w:val="316"/>
        </w:trPr>
        <w:tc>
          <w:tcPr>
            <w:tcW w:w="1233" w:type="dxa"/>
            <w:vMerge/>
            <w:tcBorders>
              <w:top w:val="nil"/>
              <w:left w:val="single" w:sz="8" w:space="0" w:color="auto"/>
              <w:bottom w:val="single" w:sz="4" w:space="0" w:color="auto"/>
              <w:right w:val="single" w:sz="4" w:space="0" w:color="auto"/>
            </w:tcBorders>
            <w:vAlign w:val="center"/>
          </w:tcPr>
          <w:p w:rsidR="00C55021" w:rsidRPr="0052753A" w:rsidRDefault="00C55021" w:rsidP="0040218D">
            <w:pPr>
              <w:rPr>
                <w:b/>
                <w:color w:val="000000"/>
                <w:sz w:val="21"/>
                <w:szCs w:val="21"/>
                <w:lang w:val="es-CO" w:eastAsia="es-CO"/>
              </w:rPr>
            </w:pPr>
          </w:p>
        </w:tc>
        <w:tc>
          <w:tcPr>
            <w:tcW w:w="6502" w:type="dxa"/>
            <w:gridSpan w:val="5"/>
            <w:tcBorders>
              <w:top w:val="single" w:sz="4" w:space="0" w:color="auto"/>
              <w:left w:val="nil"/>
              <w:bottom w:val="single" w:sz="4" w:space="0" w:color="auto"/>
              <w:right w:val="single" w:sz="4" w:space="0" w:color="auto"/>
            </w:tcBorders>
            <w:shd w:val="clear" w:color="auto" w:fill="auto"/>
            <w:noWrap/>
            <w:vAlign w:val="center"/>
          </w:tcPr>
          <w:p w:rsidR="00C55021" w:rsidRPr="0052753A" w:rsidRDefault="00C55021" w:rsidP="00C55021">
            <w:pPr>
              <w:rPr>
                <w:color w:val="000000"/>
                <w:sz w:val="21"/>
                <w:szCs w:val="21"/>
                <w:lang w:val="es-CO" w:eastAsia="es-CO"/>
              </w:rPr>
            </w:pPr>
            <w:r w:rsidRPr="0052753A">
              <w:rPr>
                <w:color w:val="000000"/>
                <w:sz w:val="21"/>
                <w:szCs w:val="21"/>
                <w:lang w:val="es-CO" w:eastAsia="es-CO"/>
              </w:rPr>
              <w:t>A nivel, piso en concreto, asfalto o gravilla lavada de río compactada, y con menos de 50 cupos</w:t>
            </w:r>
          </w:p>
        </w:tc>
        <w:tc>
          <w:tcPr>
            <w:tcW w:w="1206" w:type="dxa"/>
            <w:tcBorders>
              <w:top w:val="nil"/>
              <w:left w:val="nil"/>
              <w:bottom w:val="single" w:sz="4" w:space="0" w:color="auto"/>
              <w:right w:val="single" w:sz="8" w:space="0" w:color="auto"/>
            </w:tcBorders>
            <w:shd w:val="clear" w:color="auto" w:fill="auto"/>
            <w:noWrap/>
            <w:vAlign w:val="center"/>
          </w:tcPr>
          <w:p w:rsidR="00C55021" w:rsidRPr="0052753A" w:rsidRDefault="00C55021" w:rsidP="00C55021">
            <w:pPr>
              <w:rPr>
                <w:color w:val="000000"/>
                <w:sz w:val="21"/>
                <w:szCs w:val="21"/>
                <w:lang w:val="es-CO" w:eastAsia="es-CO"/>
              </w:rPr>
            </w:pPr>
            <w:r w:rsidRPr="0052753A">
              <w:rPr>
                <w:color w:val="000000"/>
                <w:sz w:val="21"/>
                <w:szCs w:val="21"/>
                <w:lang w:val="es-CO" w:eastAsia="es-CO"/>
              </w:rPr>
              <w:t>0,6</w:t>
            </w:r>
          </w:p>
        </w:tc>
      </w:tr>
      <w:tr w:rsidR="00C55021" w:rsidRPr="0052753A" w:rsidTr="00C55021">
        <w:trPr>
          <w:trHeight w:val="424"/>
        </w:trPr>
        <w:tc>
          <w:tcPr>
            <w:tcW w:w="1233" w:type="dxa"/>
            <w:vMerge/>
            <w:tcBorders>
              <w:top w:val="nil"/>
              <w:left w:val="single" w:sz="8" w:space="0" w:color="auto"/>
              <w:bottom w:val="single" w:sz="4" w:space="0" w:color="auto"/>
              <w:right w:val="single" w:sz="4" w:space="0" w:color="auto"/>
            </w:tcBorders>
            <w:vAlign w:val="center"/>
            <w:hideMark/>
          </w:tcPr>
          <w:p w:rsidR="00C55021" w:rsidRPr="0052753A" w:rsidRDefault="00C55021" w:rsidP="0040218D">
            <w:pPr>
              <w:rPr>
                <w:b/>
                <w:color w:val="000000"/>
                <w:sz w:val="21"/>
                <w:szCs w:val="21"/>
                <w:lang w:val="es-CO" w:eastAsia="es-CO"/>
              </w:rPr>
            </w:pPr>
          </w:p>
        </w:tc>
        <w:tc>
          <w:tcPr>
            <w:tcW w:w="6502" w:type="dxa"/>
            <w:gridSpan w:val="5"/>
            <w:tcBorders>
              <w:top w:val="single" w:sz="4" w:space="0" w:color="auto"/>
              <w:left w:val="nil"/>
              <w:bottom w:val="single" w:sz="4" w:space="0" w:color="auto"/>
              <w:right w:val="single" w:sz="4" w:space="0" w:color="auto"/>
            </w:tcBorders>
            <w:shd w:val="clear" w:color="auto" w:fill="auto"/>
            <w:noWrap/>
            <w:vAlign w:val="center"/>
            <w:hideMark/>
          </w:tcPr>
          <w:p w:rsidR="00C55021" w:rsidRPr="0052753A" w:rsidRDefault="00C55021" w:rsidP="00C55021">
            <w:pPr>
              <w:rPr>
                <w:color w:val="000000"/>
                <w:sz w:val="21"/>
                <w:szCs w:val="21"/>
                <w:lang w:val="es-CO" w:eastAsia="es-CO"/>
              </w:rPr>
            </w:pPr>
            <w:r w:rsidRPr="0052753A">
              <w:rPr>
                <w:color w:val="000000"/>
                <w:sz w:val="21"/>
                <w:szCs w:val="21"/>
                <w:lang w:val="es-CO" w:eastAsia="es-CO"/>
              </w:rPr>
              <w:t>A nivel, pisos en afirmado o césped</w:t>
            </w:r>
          </w:p>
        </w:tc>
        <w:tc>
          <w:tcPr>
            <w:tcW w:w="1206" w:type="dxa"/>
            <w:tcBorders>
              <w:top w:val="nil"/>
              <w:left w:val="nil"/>
              <w:bottom w:val="single" w:sz="4" w:space="0" w:color="auto"/>
              <w:right w:val="single" w:sz="8" w:space="0" w:color="auto"/>
            </w:tcBorders>
            <w:shd w:val="clear" w:color="auto" w:fill="auto"/>
            <w:noWrap/>
            <w:vAlign w:val="center"/>
            <w:hideMark/>
          </w:tcPr>
          <w:p w:rsidR="00C55021" w:rsidRPr="0052753A" w:rsidRDefault="00C55021" w:rsidP="00C55021">
            <w:pPr>
              <w:rPr>
                <w:color w:val="000000"/>
                <w:sz w:val="21"/>
                <w:szCs w:val="21"/>
                <w:lang w:val="es-CO" w:eastAsia="es-CO"/>
              </w:rPr>
            </w:pPr>
            <w:r w:rsidRPr="0052753A">
              <w:rPr>
                <w:color w:val="000000"/>
                <w:sz w:val="21"/>
                <w:szCs w:val="21"/>
                <w:lang w:val="es-CO" w:eastAsia="es-CO"/>
              </w:rPr>
              <w:t>0,5</w:t>
            </w:r>
          </w:p>
        </w:tc>
      </w:tr>
      <w:tr w:rsidR="00C55021" w:rsidRPr="0052753A" w:rsidTr="0040218D">
        <w:trPr>
          <w:trHeight w:val="282"/>
        </w:trPr>
        <w:tc>
          <w:tcPr>
            <w:tcW w:w="1233" w:type="dxa"/>
            <w:vMerge w:val="restart"/>
            <w:tcBorders>
              <w:top w:val="nil"/>
              <w:left w:val="single" w:sz="8" w:space="0" w:color="auto"/>
              <w:bottom w:val="single" w:sz="8" w:space="0" w:color="000000"/>
              <w:right w:val="single" w:sz="4" w:space="0" w:color="auto"/>
            </w:tcBorders>
            <w:shd w:val="clear" w:color="auto" w:fill="auto"/>
            <w:vAlign w:val="center"/>
            <w:hideMark/>
          </w:tcPr>
          <w:p w:rsidR="00C55021" w:rsidRPr="0052753A" w:rsidRDefault="00C55021" w:rsidP="0040218D">
            <w:pPr>
              <w:jc w:val="center"/>
              <w:rPr>
                <w:b/>
                <w:color w:val="000000"/>
                <w:sz w:val="21"/>
                <w:szCs w:val="21"/>
                <w:lang w:val="es-CO" w:eastAsia="es-CO"/>
              </w:rPr>
            </w:pPr>
            <w:r w:rsidRPr="0052753A">
              <w:rPr>
                <w:b/>
                <w:color w:val="000000"/>
                <w:sz w:val="21"/>
                <w:szCs w:val="21"/>
                <w:lang w:val="es-CO" w:eastAsia="es-CO"/>
              </w:rPr>
              <w:t>CMPM</w:t>
            </w:r>
          </w:p>
        </w:tc>
        <w:tc>
          <w:tcPr>
            <w:tcW w:w="7709" w:type="dxa"/>
            <w:gridSpan w:val="6"/>
            <w:vMerge w:val="restart"/>
            <w:tcBorders>
              <w:top w:val="single" w:sz="4" w:space="0" w:color="auto"/>
              <w:left w:val="single" w:sz="4" w:space="0" w:color="auto"/>
              <w:bottom w:val="single" w:sz="8" w:space="0" w:color="000000"/>
              <w:right w:val="single" w:sz="8" w:space="0" w:color="000000"/>
            </w:tcBorders>
            <w:shd w:val="clear" w:color="auto" w:fill="auto"/>
            <w:vAlign w:val="bottom"/>
            <w:hideMark/>
          </w:tcPr>
          <w:p w:rsidR="00C55021" w:rsidRPr="0052753A" w:rsidRDefault="00C55021" w:rsidP="0040218D">
            <w:pPr>
              <w:rPr>
                <w:color w:val="000000"/>
                <w:sz w:val="21"/>
                <w:szCs w:val="21"/>
                <w:lang w:val="es-CO" w:eastAsia="es-CO"/>
              </w:rPr>
            </w:pPr>
            <w:r w:rsidRPr="0052753A">
              <w:rPr>
                <w:b/>
                <w:color w:val="000000"/>
                <w:sz w:val="21"/>
                <w:szCs w:val="21"/>
                <w:lang w:val="es-CO" w:eastAsia="es-CO"/>
              </w:rPr>
              <w:t>Costo Máximo Por Minuto.</w:t>
            </w:r>
            <w:r w:rsidRPr="0052753A">
              <w:rPr>
                <w:color w:val="000000"/>
                <w:sz w:val="21"/>
                <w:szCs w:val="21"/>
                <w:lang w:val="es-CO" w:eastAsia="es-CO"/>
              </w:rPr>
              <w:t xml:space="preserve"> Es el costo máximo autorizado por minuto que es de ciento diez pesos m/cte. ($110).</w:t>
            </w:r>
          </w:p>
        </w:tc>
      </w:tr>
      <w:tr w:rsidR="00C55021" w:rsidRPr="0052753A" w:rsidTr="0040218D">
        <w:trPr>
          <w:trHeight w:val="297"/>
        </w:trPr>
        <w:tc>
          <w:tcPr>
            <w:tcW w:w="1233" w:type="dxa"/>
            <w:vMerge/>
            <w:tcBorders>
              <w:top w:val="nil"/>
              <w:left w:val="single" w:sz="8" w:space="0" w:color="auto"/>
              <w:bottom w:val="single" w:sz="8" w:space="0" w:color="000000"/>
              <w:right w:val="single" w:sz="4" w:space="0" w:color="auto"/>
            </w:tcBorders>
            <w:vAlign w:val="center"/>
            <w:hideMark/>
          </w:tcPr>
          <w:p w:rsidR="00C55021" w:rsidRPr="0052753A" w:rsidRDefault="00C55021" w:rsidP="0040218D">
            <w:pPr>
              <w:rPr>
                <w:color w:val="000000"/>
                <w:sz w:val="21"/>
                <w:szCs w:val="21"/>
                <w:lang w:val="es-CO" w:eastAsia="es-CO"/>
              </w:rPr>
            </w:pPr>
          </w:p>
        </w:tc>
        <w:tc>
          <w:tcPr>
            <w:tcW w:w="7709" w:type="dxa"/>
            <w:gridSpan w:val="6"/>
            <w:vMerge/>
            <w:tcBorders>
              <w:top w:val="single" w:sz="4" w:space="0" w:color="auto"/>
              <w:left w:val="single" w:sz="4" w:space="0" w:color="auto"/>
              <w:bottom w:val="single" w:sz="8" w:space="0" w:color="000000"/>
              <w:right w:val="single" w:sz="8" w:space="0" w:color="000000"/>
            </w:tcBorders>
            <w:vAlign w:val="center"/>
            <w:hideMark/>
          </w:tcPr>
          <w:p w:rsidR="00C55021" w:rsidRPr="0052753A" w:rsidRDefault="00C55021" w:rsidP="0040218D">
            <w:pPr>
              <w:rPr>
                <w:color w:val="000000"/>
                <w:sz w:val="21"/>
                <w:szCs w:val="21"/>
                <w:lang w:val="es-CO" w:eastAsia="es-CO"/>
              </w:rPr>
            </w:pPr>
          </w:p>
        </w:tc>
      </w:tr>
    </w:tbl>
    <w:p w:rsidR="00C55021" w:rsidRDefault="00C55021" w:rsidP="00C55021">
      <w:pPr>
        <w:shd w:val="clear" w:color="auto" w:fill="FFFFFF"/>
        <w:ind w:right="-426"/>
        <w:jc w:val="both"/>
        <w:rPr>
          <w:b/>
          <w:bCs/>
          <w:color w:val="000000"/>
          <w:sz w:val="24"/>
          <w:szCs w:val="24"/>
          <w:lang w:eastAsia="es-CO"/>
        </w:rPr>
      </w:pPr>
    </w:p>
    <w:p w:rsidR="00C55021" w:rsidRPr="00C55021" w:rsidRDefault="00C55021" w:rsidP="00C55021">
      <w:pPr>
        <w:shd w:val="clear" w:color="auto" w:fill="FFFFFF"/>
        <w:ind w:right="-426"/>
        <w:jc w:val="both"/>
        <w:rPr>
          <w:bCs/>
          <w:color w:val="000000"/>
          <w:sz w:val="24"/>
          <w:szCs w:val="24"/>
          <w:lang w:eastAsia="es-CO"/>
        </w:rPr>
      </w:pPr>
      <w:r w:rsidRPr="00C55021">
        <w:rPr>
          <w:b/>
          <w:bCs/>
          <w:color w:val="000000"/>
          <w:sz w:val="24"/>
          <w:szCs w:val="24"/>
          <w:lang w:eastAsia="es-CO"/>
        </w:rPr>
        <w:lastRenderedPageBreak/>
        <w:t xml:space="preserve">Artículo 4°. – Actualización del Valor Máximo por Minuto. </w:t>
      </w:r>
      <w:r w:rsidRPr="00C55021">
        <w:rPr>
          <w:bCs/>
          <w:color w:val="000000"/>
          <w:sz w:val="24"/>
          <w:szCs w:val="24"/>
          <w:lang w:eastAsia="es-CO"/>
        </w:rPr>
        <w:t>En función de lo establecido en el artículo 3 del presente Decreto, el valor máximo por minuto para estacionamientos fuera de vía será el siguiente:</w:t>
      </w:r>
    </w:p>
    <w:p w:rsidR="00C55021" w:rsidRPr="00C55021" w:rsidRDefault="00C55021" w:rsidP="00C55021">
      <w:pPr>
        <w:shd w:val="clear" w:color="auto" w:fill="FFFFFF"/>
        <w:ind w:left="-426" w:right="-426"/>
        <w:jc w:val="both"/>
        <w:rPr>
          <w:bCs/>
          <w:color w:val="000000"/>
          <w:sz w:val="24"/>
          <w:szCs w:val="24"/>
          <w:lang w:eastAsia="es-CO"/>
        </w:rPr>
      </w:pPr>
    </w:p>
    <w:p w:rsidR="00C55021" w:rsidRPr="00C55021" w:rsidRDefault="00C55021" w:rsidP="00C55021">
      <w:pPr>
        <w:shd w:val="clear" w:color="auto" w:fill="FFFFFF"/>
        <w:ind w:left="-426" w:right="-426"/>
        <w:jc w:val="both"/>
        <w:rPr>
          <w:bCs/>
          <w:color w:val="000000"/>
          <w:sz w:val="24"/>
          <w:szCs w:val="24"/>
          <w:lang w:eastAsia="es-CO"/>
        </w:rPr>
      </w:pPr>
    </w:p>
    <w:tbl>
      <w:tblPr>
        <w:tblW w:w="915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2"/>
        <w:gridCol w:w="1127"/>
        <w:gridCol w:w="5900"/>
        <w:gridCol w:w="1134"/>
      </w:tblGrid>
      <w:tr w:rsidR="00C55021" w:rsidRPr="00AD1AE3" w:rsidTr="00AD1AE3">
        <w:trPr>
          <w:trHeight w:val="1128"/>
        </w:trPr>
        <w:tc>
          <w:tcPr>
            <w:tcW w:w="1522" w:type="dxa"/>
            <w:shd w:val="clear" w:color="auto" w:fill="auto"/>
            <w:vAlign w:val="center"/>
            <w:hideMark/>
          </w:tcPr>
          <w:p w:rsidR="00C55021" w:rsidRPr="00AD1AE3" w:rsidRDefault="00C55021" w:rsidP="0040218D">
            <w:pPr>
              <w:jc w:val="center"/>
              <w:rPr>
                <w:b/>
                <w:color w:val="000000"/>
                <w:sz w:val="24"/>
                <w:szCs w:val="24"/>
                <w:lang w:val="es-CO" w:eastAsia="es-CO"/>
              </w:rPr>
            </w:pPr>
            <w:r w:rsidRPr="00AD1AE3">
              <w:rPr>
                <w:b/>
                <w:color w:val="000000"/>
                <w:sz w:val="24"/>
                <w:szCs w:val="24"/>
                <w:lang w:val="es-CO" w:eastAsia="es-CO"/>
              </w:rPr>
              <w:t>Tipo de Vehículo</w:t>
            </w:r>
          </w:p>
        </w:tc>
        <w:tc>
          <w:tcPr>
            <w:tcW w:w="595" w:type="dxa"/>
            <w:shd w:val="clear" w:color="auto" w:fill="auto"/>
            <w:vAlign w:val="center"/>
            <w:hideMark/>
          </w:tcPr>
          <w:p w:rsidR="00C55021" w:rsidRPr="00AD1AE3" w:rsidRDefault="00C55021" w:rsidP="0040218D">
            <w:pPr>
              <w:jc w:val="center"/>
              <w:rPr>
                <w:b/>
                <w:color w:val="000000"/>
                <w:sz w:val="24"/>
                <w:szCs w:val="24"/>
                <w:lang w:val="es-CO" w:eastAsia="es-CO"/>
              </w:rPr>
            </w:pPr>
            <w:r w:rsidRPr="00AD1AE3">
              <w:rPr>
                <w:b/>
                <w:color w:val="000000"/>
                <w:sz w:val="24"/>
                <w:szCs w:val="24"/>
                <w:lang w:val="es-CO" w:eastAsia="es-CO"/>
              </w:rPr>
              <w:t>Factor de Demanda Zonal</w:t>
            </w:r>
          </w:p>
        </w:tc>
        <w:tc>
          <w:tcPr>
            <w:tcW w:w="5900" w:type="dxa"/>
            <w:shd w:val="clear" w:color="auto" w:fill="auto"/>
            <w:noWrap/>
            <w:vAlign w:val="center"/>
            <w:hideMark/>
          </w:tcPr>
          <w:p w:rsidR="00C55021" w:rsidRPr="00AD1AE3" w:rsidRDefault="00C55021" w:rsidP="0040218D">
            <w:pPr>
              <w:jc w:val="center"/>
              <w:rPr>
                <w:b/>
                <w:color w:val="000000"/>
                <w:sz w:val="24"/>
                <w:szCs w:val="24"/>
                <w:lang w:val="es-CO" w:eastAsia="es-CO"/>
              </w:rPr>
            </w:pPr>
            <w:r w:rsidRPr="00AD1AE3">
              <w:rPr>
                <w:b/>
                <w:color w:val="000000"/>
                <w:sz w:val="24"/>
                <w:szCs w:val="24"/>
                <w:lang w:val="es-CO" w:eastAsia="es-CO"/>
              </w:rPr>
              <w:t>Nivel de Servicio</w:t>
            </w:r>
          </w:p>
        </w:tc>
        <w:tc>
          <w:tcPr>
            <w:tcW w:w="1134" w:type="dxa"/>
            <w:shd w:val="clear" w:color="auto" w:fill="auto"/>
            <w:noWrap/>
            <w:vAlign w:val="center"/>
            <w:hideMark/>
          </w:tcPr>
          <w:p w:rsidR="00C55021" w:rsidRPr="00AD1AE3" w:rsidRDefault="00C55021" w:rsidP="0040218D">
            <w:pPr>
              <w:jc w:val="center"/>
              <w:rPr>
                <w:b/>
                <w:color w:val="000000"/>
                <w:sz w:val="24"/>
                <w:szCs w:val="24"/>
                <w:lang w:val="es-CO" w:eastAsia="es-CO"/>
              </w:rPr>
            </w:pPr>
            <w:r w:rsidRPr="00AD1AE3">
              <w:rPr>
                <w:b/>
                <w:color w:val="000000"/>
                <w:sz w:val="24"/>
                <w:szCs w:val="24"/>
                <w:lang w:val="es-CO" w:eastAsia="es-CO"/>
              </w:rPr>
              <w:t>VMPM ($)</w:t>
            </w:r>
          </w:p>
        </w:tc>
      </w:tr>
      <w:tr w:rsidR="00C55021" w:rsidRPr="00AD1AE3" w:rsidTr="00AD1AE3">
        <w:trPr>
          <w:trHeight w:val="411"/>
        </w:trPr>
        <w:tc>
          <w:tcPr>
            <w:tcW w:w="1522" w:type="dxa"/>
            <w:vMerge w:val="restart"/>
            <w:shd w:val="clear" w:color="auto" w:fill="auto"/>
            <w:vAlign w:val="center"/>
            <w:hideMark/>
          </w:tcPr>
          <w:p w:rsidR="00C55021" w:rsidRPr="00AD1AE3" w:rsidRDefault="00C55021" w:rsidP="0040218D">
            <w:pPr>
              <w:jc w:val="center"/>
              <w:rPr>
                <w:b/>
                <w:color w:val="000000"/>
                <w:sz w:val="24"/>
                <w:szCs w:val="24"/>
                <w:lang w:val="es-CO" w:eastAsia="es-CO"/>
              </w:rPr>
            </w:pPr>
            <w:r w:rsidRPr="00AD1AE3">
              <w:rPr>
                <w:b/>
                <w:color w:val="000000"/>
                <w:sz w:val="24"/>
                <w:szCs w:val="24"/>
                <w:lang w:val="es-CO" w:eastAsia="es-CO"/>
              </w:rPr>
              <w:t>Automóviles, camperos, camionetas, vehículos pesados</w:t>
            </w:r>
          </w:p>
        </w:tc>
        <w:tc>
          <w:tcPr>
            <w:tcW w:w="595" w:type="dxa"/>
            <w:vMerge w:val="restart"/>
            <w:shd w:val="clear" w:color="auto" w:fill="auto"/>
            <w:noWrap/>
            <w:vAlign w:val="center"/>
            <w:hideMark/>
          </w:tcPr>
          <w:p w:rsidR="00C55021" w:rsidRPr="00AD1AE3" w:rsidRDefault="00C55021" w:rsidP="0040218D">
            <w:pPr>
              <w:jc w:val="center"/>
              <w:rPr>
                <w:color w:val="000000"/>
                <w:sz w:val="24"/>
                <w:szCs w:val="24"/>
                <w:lang w:val="es-CO" w:eastAsia="es-CO"/>
              </w:rPr>
            </w:pPr>
            <w:r w:rsidRPr="00AD1AE3">
              <w:rPr>
                <w:color w:val="000000"/>
                <w:sz w:val="24"/>
                <w:szCs w:val="24"/>
                <w:lang w:val="es-CO" w:eastAsia="es-CO"/>
              </w:rPr>
              <w:t>1</w:t>
            </w:r>
          </w:p>
        </w:tc>
        <w:tc>
          <w:tcPr>
            <w:tcW w:w="5900" w:type="dxa"/>
            <w:shd w:val="clear" w:color="auto" w:fill="auto"/>
            <w:noWrap/>
            <w:vAlign w:val="center"/>
            <w:hideMark/>
          </w:tcPr>
          <w:p w:rsidR="00C55021" w:rsidRPr="00AD1AE3" w:rsidRDefault="00C55021" w:rsidP="00AD1AE3">
            <w:pPr>
              <w:rPr>
                <w:color w:val="000000"/>
                <w:sz w:val="24"/>
                <w:szCs w:val="24"/>
                <w:lang w:val="es-CO" w:eastAsia="es-CO"/>
              </w:rPr>
            </w:pPr>
            <w:r w:rsidRPr="00AD1AE3">
              <w:rPr>
                <w:color w:val="000000"/>
                <w:sz w:val="24"/>
                <w:szCs w:val="24"/>
                <w:lang w:val="es-CO" w:eastAsia="es-CO"/>
              </w:rPr>
              <w:t>En altura o subterráneo con dos o más niveles</w:t>
            </w:r>
          </w:p>
        </w:tc>
        <w:tc>
          <w:tcPr>
            <w:tcW w:w="1134" w:type="dxa"/>
            <w:shd w:val="clear" w:color="auto" w:fill="auto"/>
            <w:noWrap/>
            <w:vAlign w:val="center"/>
            <w:hideMark/>
          </w:tcPr>
          <w:p w:rsidR="00C55021" w:rsidRPr="00AD1AE3" w:rsidRDefault="00C55021" w:rsidP="0040218D">
            <w:pPr>
              <w:jc w:val="right"/>
              <w:rPr>
                <w:color w:val="000000"/>
                <w:sz w:val="24"/>
                <w:szCs w:val="24"/>
                <w:lang w:val="es-CO" w:eastAsia="es-CO"/>
              </w:rPr>
            </w:pPr>
            <w:r w:rsidRPr="00AD1AE3">
              <w:rPr>
                <w:color w:val="000000"/>
                <w:sz w:val="24"/>
                <w:szCs w:val="24"/>
              </w:rPr>
              <w:t>$ 110</w:t>
            </w:r>
          </w:p>
        </w:tc>
      </w:tr>
      <w:tr w:rsidR="00C55021" w:rsidRPr="00AD1AE3" w:rsidTr="00AD1AE3">
        <w:trPr>
          <w:trHeight w:val="416"/>
        </w:trPr>
        <w:tc>
          <w:tcPr>
            <w:tcW w:w="1522" w:type="dxa"/>
            <w:vMerge/>
            <w:vAlign w:val="center"/>
          </w:tcPr>
          <w:p w:rsidR="00C55021" w:rsidRPr="00AD1AE3" w:rsidRDefault="00C55021" w:rsidP="0040218D">
            <w:pPr>
              <w:rPr>
                <w:b/>
                <w:color w:val="000000"/>
                <w:sz w:val="24"/>
                <w:szCs w:val="24"/>
                <w:lang w:val="es-CO" w:eastAsia="es-CO"/>
              </w:rPr>
            </w:pPr>
          </w:p>
        </w:tc>
        <w:tc>
          <w:tcPr>
            <w:tcW w:w="595" w:type="dxa"/>
            <w:vMerge/>
            <w:vAlign w:val="center"/>
          </w:tcPr>
          <w:p w:rsidR="00C55021" w:rsidRPr="00AD1AE3" w:rsidRDefault="00C55021" w:rsidP="0040218D">
            <w:pPr>
              <w:rPr>
                <w:color w:val="000000"/>
                <w:sz w:val="24"/>
                <w:szCs w:val="24"/>
                <w:lang w:val="es-CO" w:eastAsia="es-CO"/>
              </w:rPr>
            </w:pPr>
          </w:p>
        </w:tc>
        <w:tc>
          <w:tcPr>
            <w:tcW w:w="5900" w:type="dxa"/>
            <w:shd w:val="clear" w:color="auto" w:fill="auto"/>
            <w:vAlign w:val="center"/>
          </w:tcPr>
          <w:p w:rsidR="00C55021" w:rsidRPr="00AD1AE3" w:rsidRDefault="00C55021" w:rsidP="00AD1AE3">
            <w:pPr>
              <w:rPr>
                <w:color w:val="000000"/>
                <w:sz w:val="24"/>
                <w:szCs w:val="24"/>
                <w:lang w:val="es-CO" w:eastAsia="es-CO"/>
              </w:rPr>
            </w:pPr>
            <w:r w:rsidRPr="00AD1AE3">
              <w:rPr>
                <w:color w:val="000000"/>
                <w:sz w:val="24"/>
                <w:szCs w:val="24"/>
                <w:lang w:val="es-CO" w:eastAsia="es-CO"/>
              </w:rPr>
              <w:t>Subterráneo, un solo nivel y 50 cupos o más</w:t>
            </w:r>
          </w:p>
        </w:tc>
        <w:tc>
          <w:tcPr>
            <w:tcW w:w="1134" w:type="dxa"/>
            <w:shd w:val="clear" w:color="auto" w:fill="auto"/>
            <w:noWrap/>
            <w:vAlign w:val="center"/>
          </w:tcPr>
          <w:p w:rsidR="00C55021" w:rsidRPr="00AD1AE3" w:rsidRDefault="00C55021" w:rsidP="0040218D">
            <w:pPr>
              <w:jc w:val="right"/>
              <w:rPr>
                <w:color w:val="000000"/>
                <w:sz w:val="24"/>
                <w:szCs w:val="24"/>
              </w:rPr>
            </w:pPr>
            <w:r w:rsidRPr="00AD1AE3">
              <w:rPr>
                <w:color w:val="000000"/>
                <w:sz w:val="24"/>
                <w:szCs w:val="24"/>
              </w:rPr>
              <w:t>$ 99</w:t>
            </w:r>
          </w:p>
        </w:tc>
      </w:tr>
      <w:tr w:rsidR="00C55021" w:rsidRPr="00AD1AE3" w:rsidTr="00AD1AE3">
        <w:trPr>
          <w:trHeight w:val="408"/>
        </w:trPr>
        <w:tc>
          <w:tcPr>
            <w:tcW w:w="1522" w:type="dxa"/>
            <w:vMerge/>
            <w:vAlign w:val="center"/>
          </w:tcPr>
          <w:p w:rsidR="00C55021" w:rsidRPr="00AD1AE3" w:rsidRDefault="00C55021" w:rsidP="0040218D">
            <w:pPr>
              <w:rPr>
                <w:b/>
                <w:color w:val="000000"/>
                <w:sz w:val="24"/>
                <w:szCs w:val="24"/>
                <w:lang w:val="es-CO" w:eastAsia="es-CO"/>
              </w:rPr>
            </w:pPr>
          </w:p>
        </w:tc>
        <w:tc>
          <w:tcPr>
            <w:tcW w:w="595" w:type="dxa"/>
            <w:vMerge/>
            <w:vAlign w:val="center"/>
          </w:tcPr>
          <w:p w:rsidR="00C55021" w:rsidRPr="00AD1AE3" w:rsidRDefault="00C55021" w:rsidP="0040218D">
            <w:pPr>
              <w:rPr>
                <w:color w:val="000000"/>
                <w:sz w:val="24"/>
                <w:szCs w:val="24"/>
                <w:lang w:val="es-CO" w:eastAsia="es-CO"/>
              </w:rPr>
            </w:pPr>
          </w:p>
        </w:tc>
        <w:tc>
          <w:tcPr>
            <w:tcW w:w="5900" w:type="dxa"/>
            <w:shd w:val="clear" w:color="auto" w:fill="auto"/>
            <w:vAlign w:val="center"/>
          </w:tcPr>
          <w:p w:rsidR="00C55021" w:rsidRPr="00AD1AE3" w:rsidRDefault="00C55021" w:rsidP="00AD1AE3">
            <w:pPr>
              <w:rPr>
                <w:color w:val="000000"/>
                <w:sz w:val="24"/>
                <w:szCs w:val="24"/>
                <w:lang w:val="es-CO" w:eastAsia="es-CO"/>
              </w:rPr>
            </w:pPr>
            <w:r w:rsidRPr="00AD1AE3">
              <w:rPr>
                <w:color w:val="000000"/>
                <w:sz w:val="24"/>
                <w:szCs w:val="24"/>
                <w:lang w:val="es-CO" w:eastAsia="es-CO"/>
              </w:rPr>
              <w:t>Subterráneo, un solo nivel y con menos de 50 cupos</w:t>
            </w:r>
          </w:p>
        </w:tc>
        <w:tc>
          <w:tcPr>
            <w:tcW w:w="1134" w:type="dxa"/>
            <w:shd w:val="clear" w:color="auto" w:fill="auto"/>
            <w:noWrap/>
            <w:vAlign w:val="center"/>
          </w:tcPr>
          <w:p w:rsidR="00C55021" w:rsidRPr="00AD1AE3" w:rsidRDefault="00C55021" w:rsidP="0040218D">
            <w:pPr>
              <w:jc w:val="right"/>
              <w:rPr>
                <w:color w:val="000000"/>
                <w:sz w:val="24"/>
                <w:szCs w:val="24"/>
              </w:rPr>
            </w:pPr>
            <w:r w:rsidRPr="00AD1AE3">
              <w:rPr>
                <w:color w:val="000000"/>
                <w:sz w:val="24"/>
                <w:szCs w:val="24"/>
              </w:rPr>
              <w:t>$ 88</w:t>
            </w:r>
          </w:p>
        </w:tc>
      </w:tr>
      <w:tr w:rsidR="00C55021" w:rsidRPr="00AD1AE3" w:rsidTr="00AD1AE3">
        <w:trPr>
          <w:trHeight w:val="698"/>
        </w:trPr>
        <w:tc>
          <w:tcPr>
            <w:tcW w:w="1522" w:type="dxa"/>
            <w:vMerge/>
            <w:vAlign w:val="center"/>
            <w:hideMark/>
          </w:tcPr>
          <w:p w:rsidR="00C55021" w:rsidRPr="00AD1AE3" w:rsidRDefault="00C55021" w:rsidP="0040218D">
            <w:pPr>
              <w:rPr>
                <w:b/>
                <w:color w:val="000000"/>
                <w:sz w:val="24"/>
                <w:szCs w:val="24"/>
                <w:lang w:val="es-CO" w:eastAsia="es-CO"/>
              </w:rPr>
            </w:pPr>
          </w:p>
        </w:tc>
        <w:tc>
          <w:tcPr>
            <w:tcW w:w="595" w:type="dxa"/>
            <w:vMerge/>
            <w:vAlign w:val="center"/>
            <w:hideMark/>
          </w:tcPr>
          <w:p w:rsidR="00C55021" w:rsidRPr="00AD1AE3" w:rsidRDefault="00C55021" w:rsidP="0040218D">
            <w:pPr>
              <w:rPr>
                <w:color w:val="000000"/>
                <w:sz w:val="24"/>
                <w:szCs w:val="24"/>
                <w:lang w:val="es-CO" w:eastAsia="es-CO"/>
              </w:rPr>
            </w:pPr>
          </w:p>
        </w:tc>
        <w:tc>
          <w:tcPr>
            <w:tcW w:w="5900" w:type="dxa"/>
            <w:shd w:val="clear" w:color="auto" w:fill="auto"/>
            <w:vAlign w:val="center"/>
            <w:hideMark/>
          </w:tcPr>
          <w:p w:rsidR="00C55021" w:rsidRPr="00AD1AE3" w:rsidRDefault="00C55021" w:rsidP="00AD1AE3">
            <w:pPr>
              <w:rPr>
                <w:color w:val="000000"/>
                <w:sz w:val="24"/>
                <w:szCs w:val="24"/>
                <w:lang w:val="es-CO" w:eastAsia="es-CO"/>
              </w:rPr>
            </w:pPr>
            <w:r w:rsidRPr="00AD1AE3">
              <w:rPr>
                <w:color w:val="000000"/>
                <w:sz w:val="24"/>
                <w:szCs w:val="24"/>
                <w:lang w:val="es-CO" w:eastAsia="es-CO"/>
              </w:rPr>
              <w:t>A nivel, piso en concreto, asfalto o gravilla lavada de rio compactada, y con 50 cupos o más</w:t>
            </w:r>
          </w:p>
        </w:tc>
        <w:tc>
          <w:tcPr>
            <w:tcW w:w="1134" w:type="dxa"/>
            <w:shd w:val="clear" w:color="auto" w:fill="auto"/>
            <w:noWrap/>
            <w:vAlign w:val="center"/>
            <w:hideMark/>
          </w:tcPr>
          <w:p w:rsidR="00C55021" w:rsidRPr="00AD1AE3" w:rsidRDefault="00C55021" w:rsidP="0040218D">
            <w:pPr>
              <w:jc w:val="right"/>
              <w:rPr>
                <w:color w:val="000000"/>
                <w:sz w:val="24"/>
                <w:szCs w:val="24"/>
              </w:rPr>
            </w:pPr>
            <w:r w:rsidRPr="00AD1AE3">
              <w:rPr>
                <w:color w:val="000000"/>
                <w:sz w:val="24"/>
                <w:szCs w:val="24"/>
              </w:rPr>
              <w:t>$ 77</w:t>
            </w:r>
          </w:p>
        </w:tc>
      </w:tr>
      <w:tr w:rsidR="00C55021" w:rsidRPr="00AD1AE3" w:rsidTr="00AD1AE3">
        <w:trPr>
          <w:trHeight w:val="694"/>
        </w:trPr>
        <w:tc>
          <w:tcPr>
            <w:tcW w:w="1522" w:type="dxa"/>
            <w:vMerge/>
            <w:vAlign w:val="center"/>
          </w:tcPr>
          <w:p w:rsidR="00C55021" w:rsidRPr="00AD1AE3" w:rsidRDefault="00C55021" w:rsidP="0040218D">
            <w:pPr>
              <w:rPr>
                <w:b/>
                <w:color w:val="000000"/>
                <w:sz w:val="24"/>
                <w:szCs w:val="24"/>
                <w:lang w:val="es-CO" w:eastAsia="es-CO"/>
              </w:rPr>
            </w:pPr>
          </w:p>
        </w:tc>
        <w:tc>
          <w:tcPr>
            <w:tcW w:w="595" w:type="dxa"/>
            <w:vMerge/>
            <w:vAlign w:val="center"/>
          </w:tcPr>
          <w:p w:rsidR="00C55021" w:rsidRPr="00AD1AE3" w:rsidRDefault="00C55021" w:rsidP="0040218D">
            <w:pPr>
              <w:rPr>
                <w:color w:val="000000"/>
                <w:sz w:val="24"/>
                <w:szCs w:val="24"/>
                <w:lang w:val="es-CO" w:eastAsia="es-CO"/>
              </w:rPr>
            </w:pPr>
          </w:p>
        </w:tc>
        <w:tc>
          <w:tcPr>
            <w:tcW w:w="5900" w:type="dxa"/>
            <w:shd w:val="clear" w:color="auto" w:fill="auto"/>
            <w:vAlign w:val="center"/>
          </w:tcPr>
          <w:p w:rsidR="00C55021" w:rsidRPr="00AD1AE3" w:rsidRDefault="00C55021" w:rsidP="00AD1AE3">
            <w:pPr>
              <w:rPr>
                <w:color w:val="000000"/>
                <w:sz w:val="24"/>
                <w:szCs w:val="24"/>
                <w:lang w:val="es-CO" w:eastAsia="es-CO"/>
              </w:rPr>
            </w:pPr>
            <w:r w:rsidRPr="00AD1AE3">
              <w:rPr>
                <w:color w:val="000000"/>
                <w:sz w:val="24"/>
                <w:szCs w:val="24"/>
                <w:lang w:val="es-CO" w:eastAsia="es-CO"/>
              </w:rPr>
              <w:t>A nivel, piso en concreto, asfalto o gravilla lavada de río compactada, y con menos de 50 cupos</w:t>
            </w:r>
          </w:p>
        </w:tc>
        <w:tc>
          <w:tcPr>
            <w:tcW w:w="1134" w:type="dxa"/>
            <w:shd w:val="clear" w:color="auto" w:fill="auto"/>
            <w:noWrap/>
            <w:vAlign w:val="center"/>
          </w:tcPr>
          <w:p w:rsidR="00C55021" w:rsidRPr="00AD1AE3" w:rsidRDefault="00C55021" w:rsidP="0040218D">
            <w:pPr>
              <w:jc w:val="right"/>
              <w:rPr>
                <w:color w:val="000000"/>
                <w:sz w:val="24"/>
                <w:szCs w:val="24"/>
              </w:rPr>
            </w:pPr>
            <w:r w:rsidRPr="00AD1AE3">
              <w:rPr>
                <w:color w:val="000000"/>
                <w:sz w:val="24"/>
                <w:szCs w:val="24"/>
              </w:rPr>
              <w:t>$ 66</w:t>
            </w:r>
          </w:p>
        </w:tc>
      </w:tr>
      <w:tr w:rsidR="00C55021" w:rsidRPr="00AD1AE3" w:rsidTr="00AD1AE3">
        <w:trPr>
          <w:trHeight w:val="420"/>
        </w:trPr>
        <w:tc>
          <w:tcPr>
            <w:tcW w:w="1522" w:type="dxa"/>
            <w:vMerge/>
            <w:vAlign w:val="center"/>
            <w:hideMark/>
          </w:tcPr>
          <w:p w:rsidR="00C55021" w:rsidRPr="00AD1AE3" w:rsidRDefault="00C55021" w:rsidP="0040218D">
            <w:pPr>
              <w:rPr>
                <w:b/>
                <w:color w:val="000000"/>
                <w:sz w:val="24"/>
                <w:szCs w:val="24"/>
                <w:lang w:val="es-CO" w:eastAsia="es-CO"/>
              </w:rPr>
            </w:pPr>
          </w:p>
        </w:tc>
        <w:tc>
          <w:tcPr>
            <w:tcW w:w="595" w:type="dxa"/>
            <w:vMerge/>
            <w:vAlign w:val="center"/>
            <w:hideMark/>
          </w:tcPr>
          <w:p w:rsidR="00C55021" w:rsidRPr="00AD1AE3" w:rsidRDefault="00C55021" w:rsidP="0040218D">
            <w:pPr>
              <w:rPr>
                <w:color w:val="000000"/>
                <w:sz w:val="24"/>
                <w:szCs w:val="24"/>
                <w:lang w:val="es-CO" w:eastAsia="es-CO"/>
              </w:rPr>
            </w:pPr>
          </w:p>
        </w:tc>
        <w:tc>
          <w:tcPr>
            <w:tcW w:w="5900" w:type="dxa"/>
            <w:shd w:val="clear" w:color="auto" w:fill="auto"/>
            <w:noWrap/>
            <w:vAlign w:val="center"/>
            <w:hideMark/>
          </w:tcPr>
          <w:p w:rsidR="00C55021" w:rsidRPr="00AD1AE3" w:rsidRDefault="00C55021" w:rsidP="00AD1AE3">
            <w:pPr>
              <w:rPr>
                <w:color w:val="000000"/>
                <w:sz w:val="24"/>
                <w:szCs w:val="24"/>
                <w:lang w:val="es-CO" w:eastAsia="es-CO"/>
              </w:rPr>
            </w:pPr>
            <w:r w:rsidRPr="00AD1AE3">
              <w:rPr>
                <w:color w:val="000000"/>
                <w:sz w:val="24"/>
                <w:szCs w:val="24"/>
                <w:lang w:val="es-CO" w:eastAsia="es-CO"/>
              </w:rPr>
              <w:t>A nivel, pisos en afirmado o césped</w:t>
            </w:r>
          </w:p>
        </w:tc>
        <w:tc>
          <w:tcPr>
            <w:tcW w:w="1134" w:type="dxa"/>
            <w:shd w:val="clear" w:color="auto" w:fill="auto"/>
            <w:noWrap/>
            <w:vAlign w:val="center"/>
            <w:hideMark/>
          </w:tcPr>
          <w:p w:rsidR="00C55021" w:rsidRPr="00AD1AE3" w:rsidRDefault="00C55021" w:rsidP="0040218D">
            <w:pPr>
              <w:jc w:val="right"/>
              <w:rPr>
                <w:color w:val="000000"/>
                <w:sz w:val="24"/>
                <w:szCs w:val="24"/>
              </w:rPr>
            </w:pPr>
            <w:r w:rsidRPr="00AD1AE3">
              <w:rPr>
                <w:color w:val="000000"/>
                <w:sz w:val="24"/>
                <w:szCs w:val="24"/>
              </w:rPr>
              <w:t>$ 55</w:t>
            </w:r>
          </w:p>
        </w:tc>
      </w:tr>
      <w:tr w:rsidR="00C55021" w:rsidRPr="00AD1AE3" w:rsidTr="00AD1AE3">
        <w:trPr>
          <w:trHeight w:val="412"/>
        </w:trPr>
        <w:tc>
          <w:tcPr>
            <w:tcW w:w="1522" w:type="dxa"/>
            <w:vMerge/>
            <w:vAlign w:val="center"/>
            <w:hideMark/>
          </w:tcPr>
          <w:p w:rsidR="00C55021" w:rsidRPr="00AD1AE3" w:rsidRDefault="00C55021" w:rsidP="0040218D">
            <w:pPr>
              <w:rPr>
                <w:b/>
                <w:color w:val="000000"/>
                <w:sz w:val="24"/>
                <w:szCs w:val="24"/>
                <w:lang w:val="es-CO" w:eastAsia="es-CO"/>
              </w:rPr>
            </w:pPr>
          </w:p>
        </w:tc>
        <w:tc>
          <w:tcPr>
            <w:tcW w:w="595" w:type="dxa"/>
            <w:vMerge w:val="restart"/>
            <w:shd w:val="clear" w:color="auto" w:fill="auto"/>
            <w:noWrap/>
            <w:vAlign w:val="center"/>
            <w:hideMark/>
          </w:tcPr>
          <w:p w:rsidR="00C55021" w:rsidRPr="00AD1AE3" w:rsidRDefault="00C55021" w:rsidP="0040218D">
            <w:pPr>
              <w:jc w:val="center"/>
              <w:rPr>
                <w:color w:val="000000"/>
                <w:sz w:val="24"/>
                <w:szCs w:val="24"/>
                <w:lang w:val="es-CO" w:eastAsia="es-CO"/>
              </w:rPr>
            </w:pPr>
            <w:r w:rsidRPr="00AD1AE3">
              <w:rPr>
                <w:color w:val="000000"/>
                <w:sz w:val="24"/>
                <w:szCs w:val="24"/>
                <w:lang w:val="es-CO" w:eastAsia="es-CO"/>
              </w:rPr>
              <w:t>0,8</w:t>
            </w:r>
          </w:p>
        </w:tc>
        <w:tc>
          <w:tcPr>
            <w:tcW w:w="5900" w:type="dxa"/>
            <w:shd w:val="clear" w:color="auto" w:fill="auto"/>
            <w:noWrap/>
            <w:vAlign w:val="center"/>
            <w:hideMark/>
          </w:tcPr>
          <w:p w:rsidR="00C55021" w:rsidRPr="00AD1AE3" w:rsidRDefault="00C55021" w:rsidP="00AD1AE3">
            <w:pPr>
              <w:rPr>
                <w:color w:val="000000"/>
                <w:sz w:val="24"/>
                <w:szCs w:val="24"/>
                <w:lang w:val="es-CO" w:eastAsia="es-CO"/>
              </w:rPr>
            </w:pPr>
            <w:r w:rsidRPr="00AD1AE3">
              <w:rPr>
                <w:color w:val="000000"/>
                <w:sz w:val="24"/>
                <w:szCs w:val="24"/>
                <w:lang w:val="es-CO" w:eastAsia="es-CO"/>
              </w:rPr>
              <w:t>En altura o subterráneo con dos o más niveles</w:t>
            </w:r>
          </w:p>
        </w:tc>
        <w:tc>
          <w:tcPr>
            <w:tcW w:w="1134" w:type="dxa"/>
            <w:shd w:val="clear" w:color="auto" w:fill="auto"/>
            <w:noWrap/>
            <w:vAlign w:val="center"/>
            <w:hideMark/>
          </w:tcPr>
          <w:p w:rsidR="00C55021" w:rsidRPr="00AD1AE3" w:rsidRDefault="00C55021" w:rsidP="0040218D">
            <w:pPr>
              <w:jc w:val="right"/>
              <w:rPr>
                <w:color w:val="000000"/>
                <w:sz w:val="24"/>
                <w:szCs w:val="24"/>
              </w:rPr>
            </w:pPr>
            <w:r w:rsidRPr="00AD1AE3">
              <w:rPr>
                <w:color w:val="000000"/>
                <w:sz w:val="24"/>
                <w:szCs w:val="24"/>
              </w:rPr>
              <w:t>$ 88</w:t>
            </w:r>
          </w:p>
        </w:tc>
      </w:tr>
      <w:tr w:rsidR="00C55021" w:rsidRPr="00AD1AE3" w:rsidTr="00AD1AE3">
        <w:trPr>
          <w:trHeight w:val="419"/>
        </w:trPr>
        <w:tc>
          <w:tcPr>
            <w:tcW w:w="1522" w:type="dxa"/>
            <w:vMerge/>
            <w:vAlign w:val="center"/>
          </w:tcPr>
          <w:p w:rsidR="00C55021" w:rsidRPr="00AD1AE3" w:rsidRDefault="00C55021" w:rsidP="0040218D">
            <w:pPr>
              <w:rPr>
                <w:b/>
                <w:color w:val="000000"/>
                <w:sz w:val="24"/>
                <w:szCs w:val="24"/>
                <w:lang w:val="es-CO" w:eastAsia="es-CO"/>
              </w:rPr>
            </w:pPr>
          </w:p>
        </w:tc>
        <w:tc>
          <w:tcPr>
            <w:tcW w:w="595" w:type="dxa"/>
            <w:vMerge/>
            <w:vAlign w:val="center"/>
          </w:tcPr>
          <w:p w:rsidR="00C55021" w:rsidRPr="00AD1AE3" w:rsidRDefault="00C55021" w:rsidP="0040218D">
            <w:pPr>
              <w:rPr>
                <w:color w:val="000000"/>
                <w:sz w:val="24"/>
                <w:szCs w:val="24"/>
                <w:lang w:val="es-CO" w:eastAsia="es-CO"/>
              </w:rPr>
            </w:pPr>
          </w:p>
        </w:tc>
        <w:tc>
          <w:tcPr>
            <w:tcW w:w="5900" w:type="dxa"/>
            <w:shd w:val="clear" w:color="auto" w:fill="auto"/>
            <w:vAlign w:val="center"/>
          </w:tcPr>
          <w:p w:rsidR="00C55021" w:rsidRPr="00AD1AE3" w:rsidRDefault="00C55021" w:rsidP="00AD1AE3">
            <w:pPr>
              <w:rPr>
                <w:color w:val="000000"/>
                <w:sz w:val="24"/>
                <w:szCs w:val="24"/>
                <w:lang w:val="es-CO" w:eastAsia="es-CO"/>
              </w:rPr>
            </w:pPr>
            <w:r w:rsidRPr="00AD1AE3">
              <w:rPr>
                <w:color w:val="000000"/>
                <w:sz w:val="24"/>
                <w:szCs w:val="24"/>
                <w:lang w:val="es-CO" w:eastAsia="es-CO"/>
              </w:rPr>
              <w:t>Subterráneo, un solo nivel y 50 cupos o más</w:t>
            </w:r>
          </w:p>
        </w:tc>
        <w:tc>
          <w:tcPr>
            <w:tcW w:w="1134" w:type="dxa"/>
            <w:shd w:val="clear" w:color="auto" w:fill="auto"/>
            <w:noWrap/>
            <w:vAlign w:val="center"/>
          </w:tcPr>
          <w:p w:rsidR="00C55021" w:rsidRPr="00AD1AE3" w:rsidRDefault="00C55021" w:rsidP="0040218D">
            <w:pPr>
              <w:jc w:val="right"/>
              <w:rPr>
                <w:color w:val="000000"/>
                <w:sz w:val="24"/>
                <w:szCs w:val="24"/>
              </w:rPr>
            </w:pPr>
            <w:r w:rsidRPr="00AD1AE3">
              <w:rPr>
                <w:color w:val="000000"/>
                <w:sz w:val="24"/>
                <w:szCs w:val="24"/>
              </w:rPr>
              <w:t>$ 79</w:t>
            </w:r>
          </w:p>
        </w:tc>
      </w:tr>
      <w:tr w:rsidR="00C55021" w:rsidRPr="00AD1AE3" w:rsidTr="00AD1AE3">
        <w:trPr>
          <w:trHeight w:val="424"/>
        </w:trPr>
        <w:tc>
          <w:tcPr>
            <w:tcW w:w="1522" w:type="dxa"/>
            <w:vMerge/>
            <w:vAlign w:val="center"/>
          </w:tcPr>
          <w:p w:rsidR="00C55021" w:rsidRPr="00AD1AE3" w:rsidRDefault="00C55021" w:rsidP="0040218D">
            <w:pPr>
              <w:rPr>
                <w:b/>
                <w:color w:val="000000"/>
                <w:sz w:val="24"/>
                <w:szCs w:val="24"/>
                <w:lang w:val="es-CO" w:eastAsia="es-CO"/>
              </w:rPr>
            </w:pPr>
          </w:p>
        </w:tc>
        <w:tc>
          <w:tcPr>
            <w:tcW w:w="595" w:type="dxa"/>
            <w:vMerge/>
            <w:vAlign w:val="center"/>
          </w:tcPr>
          <w:p w:rsidR="00C55021" w:rsidRPr="00AD1AE3" w:rsidRDefault="00C55021" w:rsidP="0040218D">
            <w:pPr>
              <w:rPr>
                <w:color w:val="000000"/>
                <w:sz w:val="24"/>
                <w:szCs w:val="24"/>
                <w:lang w:val="es-CO" w:eastAsia="es-CO"/>
              </w:rPr>
            </w:pPr>
          </w:p>
        </w:tc>
        <w:tc>
          <w:tcPr>
            <w:tcW w:w="5900" w:type="dxa"/>
            <w:shd w:val="clear" w:color="auto" w:fill="auto"/>
            <w:vAlign w:val="center"/>
          </w:tcPr>
          <w:p w:rsidR="00C55021" w:rsidRPr="00AD1AE3" w:rsidRDefault="00C55021" w:rsidP="00AD1AE3">
            <w:pPr>
              <w:rPr>
                <w:color w:val="000000"/>
                <w:sz w:val="24"/>
                <w:szCs w:val="24"/>
                <w:lang w:val="es-CO" w:eastAsia="es-CO"/>
              </w:rPr>
            </w:pPr>
            <w:r w:rsidRPr="00AD1AE3">
              <w:rPr>
                <w:color w:val="000000"/>
                <w:sz w:val="24"/>
                <w:szCs w:val="24"/>
                <w:lang w:val="es-CO" w:eastAsia="es-CO"/>
              </w:rPr>
              <w:t>Subterráneo, un solo nivel y con menos de 50 cupos</w:t>
            </w:r>
          </w:p>
        </w:tc>
        <w:tc>
          <w:tcPr>
            <w:tcW w:w="1134" w:type="dxa"/>
            <w:shd w:val="clear" w:color="auto" w:fill="auto"/>
            <w:noWrap/>
            <w:vAlign w:val="center"/>
          </w:tcPr>
          <w:p w:rsidR="00C55021" w:rsidRPr="00AD1AE3" w:rsidRDefault="00C55021" w:rsidP="0040218D">
            <w:pPr>
              <w:jc w:val="right"/>
              <w:rPr>
                <w:color w:val="000000"/>
                <w:sz w:val="24"/>
                <w:szCs w:val="24"/>
              </w:rPr>
            </w:pPr>
            <w:r w:rsidRPr="00AD1AE3">
              <w:rPr>
                <w:color w:val="000000"/>
                <w:sz w:val="24"/>
                <w:szCs w:val="24"/>
              </w:rPr>
              <w:t>$ 70</w:t>
            </w:r>
          </w:p>
        </w:tc>
      </w:tr>
      <w:tr w:rsidR="00C55021" w:rsidRPr="00AD1AE3" w:rsidTr="00E10540">
        <w:trPr>
          <w:trHeight w:val="838"/>
        </w:trPr>
        <w:tc>
          <w:tcPr>
            <w:tcW w:w="1522" w:type="dxa"/>
            <w:vMerge/>
            <w:vAlign w:val="center"/>
            <w:hideMark/>
          </w:tcPr>
          <w:p w:rsidR="00C55021" w:rsidRPr="00AD1AE3" w:rsidRDefault="00C55021" w:rsidP="0040218D">
            <w:pPr>
              <w:rPr>
                <w:b/>
                <w:color w:val="000000"/>
                <w:sz w:val="24"/>
                <w:szCs w:val="24"/>
                <w:lang w:val="es-CO" w:eastAsia="es-CO"/>
              </w:rPr>
            </w:pPr>
          </w:p>
        </w:tc>
        <w:tc>
          <w:tcPr>
            <w:tcW w:w="595" w:type="dxa"/>
            <w:vMerge/>
            <w:vAlign w:val="center"/>
            <w:hideMark/>
          </w:tcPr>
          <w:p w:rsidR="00C55021" w:rsidRPr="00AD1AE3" w:rsidRDefault="00C55021" w:rsidP="0040218D">
            <w:pPr>
              <w:rPr>
                <w:color w:val="000000"/>
                <w:sz w:val="24"/>
                <w:szCs w:val="24"/>
                <w:lang w:val="es-CO" w:eastAsia="es-CO"/>
              </w:rPr>
            </w:pPr>
          </w:p>
        </w:tc>
        <w:tc>
          <w:tcPr>
            <w:tcW w:w="5900" w:type="dxa"/>
            <w:shd w:val="clear" w:color="auto" w:fill="auto"/>
            <w:vAlign w:val="center"/>
            <w:hideMark/>
          </w:tcPr>
          <w:p w:rsidR="00C55021" w:rsidRPr="00AD1AE3" w:rsidRDefault="00C55021" w:rsidP="00AD1AE3">
            <w:pPr>
              <w:rPr>
                <w:color w:val="000000"/>
                <w:sz w:val="24"/>
                <w:szCs w:val="24"/>
                <w:lang w:val="es-CO" w:eastAsia="es-CO"/>
              </w:rPr>
            </w:pPr>
            <w:r w:rsidRPr="00AD1AE3">
              <w:rPr>
                <w:color w:val="000000"/>
                <w:sz w:val="24"/>
                <w:szCs w:val="24"/>
                <w:lang w:val="es-CO" w:eastAsia="es-CO"/>
              </w:rPr>
              <w:t>A nivel, piso en concreto, asfalto o gravilla lavada de rio compactada, y con 50 cupos o más</w:t>
            </w:r>
          </w:p>
        </w:tc>
        <w:tc>
          <w:tcPr>
            <w:tcW w:w="1134" w:type="dxa"/>
            <w:shd w:val="clear" w:color="auto" w:fill="auto"/>
            <w:noWrap/>
            <w:vAlign w:val="center"/>
            <w:hideMark/>
          </w:tcPr>
          <w:p w:rsidR="00C55021" w:rsidRPr="00AD1AE3" w:rsidRDefault="00C55021" w:rsidP="0040218D">
            <w:pPr>
              <w:jc w:val="right"/>
              <w:rPr>
                <w:color w:val="000000"/>
                <w:sz w:val="24"/>
                <w:szCs w:val="24"/>
              </w:rPr>
            </w:pPr>
            <w:r w:rsidRPr="00AD1AE3">
              <w:rPr>
                <w:color w:val="000000"/>
                <w:sz w:val="24"/>
                <w:szCs w:val="24"/>
              </w:rPr>
              <w:t>$ 62</w:t>
            </w:r>
          </w:p>
        </w:tc>
      </w:tr>
      <w:tr w:rsidR="00C55021" w:rsidRPr="00AD1AE3" w:rsidTr="00E10540">
        <w:trPr>
          <w:trHeight w:val="834"/>
        </w:trPr>
        <w:tc>
          <w:tcPr>
            <w:tcW w:w="1522" w:type="dxa"/>
            <w:vMerge/>
            <w:vAlign w:val="center"/>
          </w:tcPr>
          <w:p w:rsidR="00C55021" w:rsidRPr="00AD1AE3" w:rsidRDefault="00C55021" w:rsidP="0040218D">
            <w:pPr>
              <w:rPr>
                <w:b/>
                <w:color w:val="000000"/>
                <w:sz w:val="24"/>
                <w:szCs w:val="24"/>
                <w:lang w:val="es-CO" w:eastAsia="es-CO"/>
              </w:rPr>
            </w:pPr>
          </w:p>
        </w:tc>
        <w:tc>
          <w:tcPr>
            <w:tcW w:w="595" w:type="dxa"/>
            <w:vMerge/>
            <w:vAlign w:val="center"/>
          </w:tcPr>
          <w:p w:rsidR="00C55021" w:rsidRPr="00AD1AE3" w:rsidRDefault="00C55021" w:rsidP="0040218D">
            <w:pPr>
              <w:rPr>
                <w:color w:val="000000"/>
                <w:sz w:val="24"/>
                <w:szCs w:val="24"/>
                <w:lang w:val="es-CO" w:eastAsia="es-CO"/>
              </w:rPr>
            </w:pPr>
          </w:p>
        </w:tc>
        <w:tc>
          <w:tcPr>
            <w:tcW w:w="5900" w:type="dxa"/>
            <w:shd w:val="clear" w:color="auto" w:fill="auto"/>
            <w:noWrap/>
            <w:vAlign w:val="center"/>
          </w:tcPr>
          <w:p w:rsidR="00C55021" w:rsidRPr="00AD1AE3" w:rsidRDefault="00C55021" w:rsidP="00AD1AE3">
            <w:pPr>
              <w:rPr>
                <w:color w:val="000000"/>
                <w:sz w:val="24"/>
                <w:szCs w:val="24"/>
                <w:lang w:val="es-CO" w:eastAsia="es-CO"/>
              </w:rPr>
            </w:pPr>
            <w:r w:rsidRPr="00AD1AE3">
              <w:rPr>
                <w:color w:val="000000"/>
                <w:sz w:val="24"/>
                <w:szCs w:val="24"/>
                <w:lang w:val="es-CO" w:eastAsia="es-CO"/>
              </w:rPr>
              <w:t>A nivel, piso en concreto, asfalto o gravilla lavada de río compactada, y con menos de 50 cupos</w:t>
            </w:r>
          </w:p>
        </w:tc>
        <w:tc>
          <w:tcPr>
            <w:tcW w:w="1134" w:type="dxa"/>
            <w:shd w:val="clear" w:color="auto" w:fill="auto"/>
            <w:noWrap/>
            <w:vAlign w:val="center"/>
          </w:tcPr>
          <w:p w:rsidR="00C55021" w:rsidRPr="00AD1AE3" w:rsidRDefault="00C55021" w:rsidP="0040218D">
            <w:pPr>
              <w:jc w:val="right"/>
              <w:rPr>
                <w:color w:val="000000"/>
                <w:sz w:val="24"/>
                <w:szCs w:val="24"/>
              </w:rPr>
            </w:pPr>
            <w:r w:rsidRPr="00AD1AE3">
              <w:rPr>
                <w:color w:val="000000"/>
                <w:sz w:val="24"/>
                <w:szCs w:val="24"/>
              </w:rPr>
              <w:t>$ 53</w:t>
            </w:r>
          </w:p>
        </w:tc>
      </w:tr>
      <w:tr w:rsidR="00C55021" w:rsidRPr="00AD1AE3" w:rsidTr="00AD1AE3">
        <w:trPr>
          <w:trHeight w:val="564"/>
        </w:trPr>
        <w:tc>
          <w:tcPr>
            <w:tcW w:w="1522" w:type="dxa"/>
            <w:vMerge/>
            <w:vAlign w:val="center"/>
            <w:hideMark/>
          </w:tcPr>
          <w:p w:rsidR="00C55021" w:rsidRPr="00AD1AE3" w:rsidRDefault="00C55021" w:rsidP="0040218D">
            <w:pPr>
              <w:rPr>
                <w:b/>
                <w:color w:val="000000"/>
                <w:sz w:val="24"/>
                <w:szCs w:val="24"/>
                <w:lang w:val="es-CO" w:eastAsia="es-CO"/>
              </w:rPr>
            </w:pPr>
          </w:p>
        </w:tc>
        <w:tc>
          <w:tcPr>
            <w:tcW w:w="595" w:type="dxa"/>
            <w:vMerge/>
            <w:vAlign w:val="center"/>
            <w:hideMark/>
          </w:tcPr>
          <w:p w:rsidR="00C55021" w:rsidRPr="00AD1AE3" w:rsidRDefault="00C55021" w:rsidP="0040218D">
            <w:pPr>
              <w:rPr>
                <w:color w:val="000000"/>
                <w:sz w:val="24"/>
                <w:szCs w:val="24"/>
                <w:lang w:val="es-CO" w:eastAsia="es-CO"/>
              </w:rPr>
            </w:pPr>
          </w:p>
        </w:tc>
        <w:tc>
          <w:tcPr>
            <w:tcW w:w="5900" w:type="dxa"/>
            <w:shd w:val="clear" w:color="auto" w:fill="auto"/>
            <w:noWrap/>
            <w:vAlign w:val="center"/>
            <w:hideMark/>
          </w:tcPr>
          <w:p w:rsidR="00C55021" w:rsidRPr="00AD1AE3" w:rsidRDefault="00C55021" w:rsidP="00AD1AE3">
            <w:pPr>
              <w:rPr>
                <w:color w:val="000000"/>
                <w:sz w:val="24"/>
                <w:szCs w:val="24"/>
                <w:lang w:val="es-CO" w:eastAsia="es-CO"/>
              </w:rPr>
            </w:pPr>
            <w:r w:rsidRPr="00AD1AE3">
              <w:rPr>
                <w:color w:val="000000"/>
                <w:sz w:val="24"/>
                <w:szCs w:val="24"/>
                <w:lang w:val="es-CO" w:eastAsia="es-CO"/>
              </w:rPr>
              <w:t>A nivel, pisos en afirmado o césped</w:t>
            </w:r>
          </w:p>
        </w:tc>
        <w:tc>
          <w:tcPr>
            <w:tcW w:w="1134" w:type="dxa"/>
            <w:shd w:val="clear" w:color="auto" w:fill="auto"/>
            <w:noWrap/>
            <w:vAlign w:val="center"/>
            <w:hideMark/>
          </w:tcPr>
          <w:p w:rsidR="00C55021" w:rsidRPr="00AD1AE3" w:rsidRDefault="00C55021" w:rsidP="0040218D">
            <w:pPr>
              <w:jc w:val="right"/>
              <w:rPr>
                <w:color w:val="000000"/>
                <w:sz w:val="24"/>
                <w:szCs w:val="24"/>
              </w:rPr>
            </w:pPr>
            <w:r w:rsidRPr="00AD1AE3">
              <w:rPr>
                <w:color w:val="000000"/>
                <w:sz w:val="24"/>
                <w:szCs w:val="24"/>
              </w:rPr>
              <w:t>$ 44</w:t>
            </w:r>
          </w:p>
        </w:tc>
      </w:tr>
      <w:tr w:rsidR="00C55021" w:rsidRPr="00AD1AE3" w:rsidTr="00AD1AE3">
        <w:trPr>
          <w:trHeight w:val="300"/>
        </w:trPr>
        <w:tc>
          <w:tcPr>
            <w:tcW w:w="1522" w:type="dxa"/>
            <w:vMerge w:val="restart"/>
            <w:shd w:val="clear" w:color="auto" w:fill="auto"/>
            <w:noWrap/>
            <w:vAlign w:val="center"/>
            <w:hideMark/>
          </w:tcPr>
          <w:p w:rsidR="00C55021" w:rsidRPr="00AD1AE3" w:rsidRDefault="00C55021" w:rsidP="0040218D">
            <w:pPr>
              <w:jc w:val="center"/>
              <w:rPr>
                <w:b/>
                <w:color w:val="000000"/>
                <w:sz w:val="24"/>
                <w:szCs w:val="24"/>
                <w:lang w:val="es-CO" w:eastAsia="es-CO"/>
              </w:rPr>
            </w:pPr>
            <w:r w:rsidRPr="00AD1AE3">
              <w:rPr>
                <w:b/>
                <w:color w:val="000000"/>
                <w:sz w:val="24"/>
                <w:szCs w:val="24"/>
                <w:lang w:val="es-CO" w:eastAsia="es-CO"/>
              </w:rPr>
              <w:lastRenderedPageBreak/>
              <w:t>Motocicletas</w:t>
            </w:r>
          </w:p>
        </w:tc>
        <w:tc>
          <w:tcPr>
            <w:tcW w:w="595" w:type="dxa"/>
            <w:vMerge w:val="restart"/>
            <w:shd w:val="clear" w:color="auto" w:fill="auto"/>
            <w:noWrap/>
            <w:vAlign w:val="center"/>
            <w:hideMark/>
          </w:tcPr>
          <w:p w:rsidR="00C55021" w:rsidRPr="00AD1AE3" w:rsidRDefault="00C55021" w:rsidP="0040218D">
            <w:pPr>
              <w:jc w:val="center"/>
              <w:rPr>
                <w:color w:val="000000"/>
                <w:sz w:val="24"/>
                <w:szCs w:val="24"/>
                <w:lang w:val="es-CO" w:eastAsia="es-CO"/>
              </w:rPr>
            </w:pPr>
            <w:r w:rsidRPr="00AD1AE3">
              <w:rPr>
                <w:color w:val="000000"/>
                <w:sz w:val="24"/>
                <w:szCs w:val="24"/>
                <w:lang w:val="es-CO" w:eastAsia="es-CO"/>
              </w:rPr>
              <w:t>1</w:t>
            </w:r>
          </w:p>
        </w:tc>
        <w:tc>
          <w:tcPr>
            <w:tcW w:w="5900" w:type="dxa"/>
            <w:shd w:val="clear" w:color="auto" w:fill="auto"/>
            <w:noWrap/>
            <w:vAlign w:val="center"/>
            <w:hideMark/>
          </w:tcPr>
          <w:p w:rsidR="00C55021" w:rsidRPr="00AD1AE3" w:rsidRDefault="00C55021" w:rsidP="0040218D">
            <w:pPr>
              <w:rPr>
                <w:color w:val="000000"/>
                <w:sz w:val="24"/>
                <w:szCs w:val="24"/>
                <w:lang w:val="es-CO" w:eastAsia="es-CO"/>
              </w:rPr>
            </w:pPr>
            <w:r w:rsidRPr="00AD1AE3">
              <w:rPr>
                <w:color w:val="000000"/>
                <w:sz w:val="24"/>
                <w:szCs w:val="24"/>
                <w:lang w:val="es-CO" w:eastAsia="es-CO"/>
              </w:rPr>
              <w:t>En altura o subterráneo con dos o más niveles</w:t>
            </w:r>
          </w:p>
        </w:tc>
        <w:tc>
          <w:tcPr>
            <w:tcW w:w="1134" w:type="dxa"/>
            <w:shd w:val="clear" w:color="auto" w:fill="auto"/>
            <w:noWrap/>
            <w:vAlign w:val="center"/>
            <w:hideMark/>
          </w:tcPr>
          <w:p w:rsidR="00C55021" w:rsidRPr="00AD1AE3" w:rsidRDefault="00C55021" w:rsidP="0040218D">
            <w:pPr>
              <w:jc w:val="right"/>
              <w:rPr>
                <w:color w:val="000000"/>
                <w:sz w:val="24"/>
                <w:szCs w:val="24"/>
              </w:rPr>
            </w:pPr>
            <w:r w:rsidRPr="00AD1AE3">
              <w:rPr>
                <w:color w:val="000000"/>
                <w:sz w:val="24"/>
                <w:szCs w:val="24"/>
              </w:rPr>
              <w:t>$ 77</w:t>
            </w:r>
          </w:p>
        </w:tc>
      </w:tr>
      <w:tr w:rsidR="00C55021" w:rsidRPr="00AD1AE3" w:rsidTr="00AD1AE3">
        <w:trPr>
          <w:trHeight w:val="600"/>
        </w:trPr>
        <w:tc>
          <w:tcPr>
            <w:tcW w:w="1522" w:type="dxa"/>
            <w:vMerge/>
            <w:vAlign w:val="center"/>
          </w:tcPr>
          <w:p w:rsidR="00C55021" w:rsidRPr="00AD1AE3" w:rsidRDefault="00C55021" w:rsidP="0040218D">
            <w:pPr>
              <w:rPr>
                <w:color w:val="000000"/>
                <w:sz w:val="24"/>
                <w:szCs w:val="24"/>
                <w:lang w:val="es-CO" w:eastAsia="es-CO"/>
              </w:rPr>
            </w:pPr>
          </w:p>
        </w:tc>
        <w:tc>
          <w:tcPr>
            <w:tcW w:w="595" w:type="dxa"/>
            <w:vMerge/>
            <w:vAlign w:val="center"/>
          </w:tcPr>
          <w:p w:rsidR="00C55021" w:rsidRPr="00AD1AE3" w:rsidRDefault="00C55021" w:rsidP="0040218D">
            <w:pPr>
              <w:rPr>
                <w:color w:val="000000"/>
                <w:sz w:val="24"/>
                <w:szCs w:val="24"/>
                <w:lang w:val="es-CO" w:eastAsia="es-CO"/>
              </w:rPr>
            </w:pPr>
          </w:p>
        </w:tc>
        <w:tc>
          <w:tcPr>
            <w:tcW w:w="5900" w:type="dxa"/>
            <w:shd w:val="clear" w:color="auto" w:fill="auto"/>
            <w:vAlign w:val="center"/>
          </w:tcPr>
          <w:p w:rsidR="00C55021" w:rsidRPr="00AD1AE3" w:rsidRDefault="00C55021" w:rsidP="0040218D">
            <w:pPr>
              <w:rPr>
                <w:color w:val="000000"/>
                <w:sz w:val="24"/>
                <w:szCs w:val="24"/>
                <w:lang w:val="es-CO" w:eastAsia="es-CO"/>
              </w:rPr>
            </w:pPr>
            <w:r w:rsidRPr="00AD1AE3">
              <w:rPr>
                <w:color w:val="000000"/>
                <w:sz w:val="24"/>
                <w:szCs w:val="24"/>
                <w:lang w:val="es-CO" w:eastAsia="es-CO"/>
              </w:rPr>
              <w:t>Subterráneo, un solo nivel y 50 cupos o más</w:t>
            </w:r>
          </w:p>
        </w:tc>
        <w:tc>
          <w:tcPr>
            <w:tcW w:w="1134" w:type="dxa"/>
            <w:shd w:val="clear" w:color="auto" w:fill="auto"/>
            <w:noWrap/>
            <w:vAlign w:val="center"/>
          </w:tcPr>
          <w:p w:rsidR="00C55021" w:rsidRPr="00AD1AE3" w:rsidRDefault="00C55021" w:rsidP="0040218D">
            <w:pPr>
              <w:jc w:val="right"/>
              <w:rPr>
                <w:color w:val="000000"/>
                <w:sz w:val="24"/>
                <w:szCs w:val="24"/>
              </w:rPr>
            </w:pPr>
            <w:r w:rsidRPr="00AD1AE3">
              <w:rPr>
                <w:color w:val="000000"/>
                <w:sz w:val="24"/>
                <w:szCs w:val="24"/>
              </w:rPr>
              <w:t>$ 69</w:t>
            </w:r>
          </w:p>
        </w:tc>
      </w:tr>
      <w:tr w:rsidR="00C55021" w:rsidRPr="00AD1AE3" w:rsidTr="00AD1AE3">
        <w:trPr>
          <w:trHeight w:val="600"/>
        </w:trPr>
        <w:tc>
          <w:tcPr>
            <w:tcW w:w="1522" w:type="dxa"/>
            <w:vMerge/>
            <w:vAlign w:val="center"/>
          </w:tcPr>
          <w:p w:rsidR="00C55021" w:rsidRPr="00AD1AE3" w:rsidRDefault="00C55021" w:rsidP="0040218D">
            <w:pPr>
              <w:rPr>
                <w:color w:val="000000"/>
                <w:sz w:val="24"/>
                <w:szCs w:val="24"/>
                <w:lang w:val="es-CO" w:eastAsia="es-CO"/>
              </w:rPr>
            </w:pPr>
          </w:p>
        </w:tc>
        <w:tc>
          <w:tcPr>
            <w:tcW w:w="595" w:type="dxa"/>
            <w:vMerge/>
            <w:vAlign w:val="center"/>
          </w:tcPr>
          <w:p w:rsidR="00C55021" w:rsidRPr="00AD1AE3" w:rsidRDefault="00C55021" w:rsidP="0040218D">
            <w:pPr>
              <w:rPr>
                <w:color w:val="000000"/>
                <w:sz w:val="24"/>
                <w:szCs w:val="24"/>
                <w:lang w:val="es-CO" w:eastAsia="es-CO"/>
              </w:rPr>
            </w:pPr>
          </w:p>
        </w:tc>
        <w:tc>
          <w:tcPr>
            <w:tcW w:w="5900" w:type="dxa"/>
            <w:shd w:val="clear" w:color="auto" w:fill="auto"/>
            <w:vAlign w:val="center"/>
          </w:tcPr>
          <w:p w:rsidR="00C55021" w:rsidRPr="00AD1AE3" w:rsidRDefault="00C55021" w:rsidP="0040218D">
            <w:pPr>
              <w:rPr>
                <w:color w:val="000000"/>
                <w:sz w:val="24"/>
                <w:szCs w:val="24"/>
                <w:lang w:val="es-CO" w:eastAsia="es-CO"/>
              </w:rPr>
            </w:pPr>
            <w:r w:rsidRPr="00AD1AE3">
              <w:rPr>
                <w:color w:val="000000"/>
                <w:sz w:val="24"/>
                <w:szCs w:val="24"/>
                <w:lang w:val="es-CO" w:eastAsia="es-CO"/>
              </w:rPr>
              <w:t>Subterráneo, un solo nivel y con menos de 50 cupos</w:t>
            </w:r>
          </w:p>
        </w:tc>
        <w:tc>
          <w:tcPr>
            <w:tcW w:w="1134" w:type="dxa"/>
            <w:shd w:val="clear" w:color="auto" w:fill="auto"/>
            <w:noWrap/>
            <w:vAlign w:val="center"/>
          </w:tcPr>
          <w:p w:rsidR="00C55021" w:rsidRPr="00AD1AE3" w:rsidRDefault="00C55021" w:rsidP="0040218D">
            <w:pPr>
              <w:jc w:val="right"/>
              <w:rPr>
                <w:color w:val="000000"/>
                <w:sz w:val="24"/>
                <w:szCs w:val="24"/>
              </w:rPr>
            </w:pPr>
            <w:r w:rsidRPr="00AD1AE3">
              <w:rPr>
                <w:color w:val="000000"/>
                <w:sz w:val="24"/>
                <w:szCs w:val="24"/>
              </w:rPr>
              <w:t>$ 62</w:t>
            </w:r>
          </w:p>
        </w:tc>
      </w:tr>
      <w:tr w:rsidR="00C55021" w:rsidRPr="00AD1AE3" w:rsidTr="00AD1AE3">
        <w:trPr>
          <w:trHeight w:val="600"/>
        </w:trPr>
        <w:tc>
          <w:tcPr>
            <w:tcW w:w="1522" w:type="dxa"/>
            <w:vMerge/>
            <w:vAlign w:val="center"/>
            <w:hideMark/>
          </w:tcPr>
          <w:p w:rsidR="00C55021" w:rsidRPr="00AD1AE3" w:rsidRDefault="00C55021" w:rsidP="0040218D">
            <w:pPr>
              <w:rPr>
                <w:color w:val="000000"/>
                <w:sz w:val="24"/>
                <w:szCs w:val="24"/>
                <w:lang w:val="es-CO" w:eastAsia="es-CO"/>
              </w:rPr>
            </w:pPr>
          </w:p>
        </w:tc>
        <w:tc>
          <w:tcPr>
            <w:tcW w:w="595" w:type="dxa"/>
            <w:vMerge/>
            <w:vAlign w:val="center"/>
            <w:hideMark/>
          </w:tcPr>
          <w:p w:rsidR="00C55021" w:rsidRPr="00AD1AE3" w:rsidRDefault="00C55021" w:rsidP="0040218D">
            <w:pPr>
              <w:rPr>
                <w:color w:val="000000"/>
                <w:sz w:val="24"/>
                <w:szCs w:val="24"/>
                <w:lang w:val="es-CO" w:eastAsia="es-CO"/>
              </w:rPr>
            </w:pPr>
          </w:p>
        </w:tc>
        <w:tc>
          <w:tcPr>
            <w:tcW w:w="5900" w:type="dxa"/>
            <w:shd w:val="clear" w:color="auto" w:fill="auto"/>
            <w:vAlign w:val="center"/>
            <w:hideMark/>
          </w:tcPr>
          <w:p w:rsidR="00C55021" w:rsidRPr="00AD1AE3" w:rsidRDefault="00C55021" w:rsidP="0040218D">
            <w:pPr>
              <w:rPr>
                <w:color w:val="000000"/>
                <w:sz w:val="24"/>
                <w:szCs w:val="24"/>
                <w:lang w:val="es-CO" w:eastAsia="es-CO"/>
              </w:rPr>
            </w:pPr>
            <w:r w:rsidRPr="00AD1AE3">
              <w:rPr>
                <w:color w:val="000000"/>
                <w:sz w:val="24"/>
                <w:szCs w:val="24"/>
                <w:lang w:val="es-CO" w:eastAsia="es-CO"/>
              </w:rPr>
              <w:t>A nivel, piso en concreto, asfalto o gravilla lavada de rio compactada, y con 50 cupos o más</w:t>
            </w:r>
          </w:p>
        </w:tc>
        <w:tc>
          <w:tcPr>
            <w:tcW w:w="1134" w:type="dxa"/>
            <w:shd w:val="clear" w:color="auto" w:fill="auto"/>
            <w:noWrap/>
            <w:vAlign w:val="center"/>
            <w:hideMark/>
          </w:tcPr>
          <w:p w:rsidR="00C55021" w:rsidRPr="00AD1AE3" w:rsidRDefault="00C55021" w:rsidP="0040218D">
            <w:pPr>
              <w:jc w:val="right"/>
              <w:rPr>
                <w:color w:val="000000"/>
                <w:sz w:val="24"/>
                <w:szCs w:val="24"/>
              </w:rPr>
            </w:pPr>
            <w:r w:rsidRPr="00AD1AE3">
              <w:rPr>
                <w:color w:val="000000"/>
                <w:sz w:val="24"/>
                <w:szCs w:val="24"/>
              </w:rPr>
              <w:t>$ 54</w:t>
            </w:r>
          </w:p>
        </w:tc>
      </w:tr>
      <w:tr w:rsidR="00C55021" w:rsidRPr="00AD1AE3" w:rsidTr="00AD1AE3">
        <w:trPr>
          <w:trHeight w:val="300"/>
        </w:trPr>
        <w:tc>
          <w:tcPr>
            <w:tcW w:w="1522" w:type="dxa"/>
            <w:vMerge/>
            <w:vAlign w:val="center"/>
          </w:tcPr>
          <w:p w:rsidR="00C55021" w:rsidRPr="00AD1AE3" w:rsidRDefault="00C55021" w:rsidP="0040218D">
            <w:pPr>
              <w:rPr>
                <w:color w:val="000000"/>
                <w:sz w:val="24"/>
                <w:szCs w:val="24"/>
                <w:lang w:val="es-CO" w:eastAsia="es-CO"/>
              </w:rPr>
            </w:pPr>
          </w:p>
        </w:tc>
        <w:tc>
          <w:tcPr>
            <w:tcW w:w="595" w:type="dxa"/>
            <w:vMerge/>
            <w:vAlign w:val="center"/>
          </w:tcPr>
          <w:p w:rsidR="00C55021" w:rsidRPr="00AD1AE3" w:rsidRDefault="00C55021" w:rsidP="0040218D">
            <w:pPr>
              <w:rPr>
                <w:color w:val="000000"/>
                <w:sz w:val="24"/>
                <w:szCs w:val="24"/>
                <w:lang w:val="es-CO" w:eastAsia="es-CO"/>
              </w:rPr>
            </w:pPr>
          </w:p>
        </w:tc>
        <w:tc>
          <w:tcPr>
            <w:tcW w:w="5900" w:type="dxa"/>
            <w:shd w:val="clear" w:color="auto" w:fill="auto"/>
            <w:noWrap/>
            <w:vAlign w:val="center"/>
          </w:tcPr>
          <w:p w:rsidR="00C55021" w:rsidRPr="00AD1AE3" w:rsidRDefault="00C55021" w:rsidP="0040218D">
            <w:pPr>
              <w:rPr>
                <w:color w:val="000000"/>
                <w:sz w:val="24"/>
                <w:szCs w:val="24"/>
                <w:lang w:val="es-CO" w:eastAsia="es-CO"/>
              </w:rPr>
            </w:pPr>
            <w:r w:rsidRPr="00AD1AE3">
              <w:rPr>
                <w:color w:val="000000"/>
                <w:sz w:val="24"/>
                <w:szCs w:val="24"/>
                <w:lang w:val="es-CO" w:eastAsia="es-CO"/>
              </w:rPr>
              <w:t>A nivel, piso en concreto, asfalto o gravilla lavada de río compactada, y con menos de 50 cupos</w:t>
            </w:r>
          </w:p>
        </w:tc>
        <w:tc>
          <w:tcPr>
            <w:tcW w:w="1134" w:type="dxa"/>
            <w:shd w:val="clear" w:color="auto" w:fill="auto"/>
            <w:noWrap/>
            <w:vAlign w:val="center"/>
          </w:tcPr>
          <w:p w:rsidR="00C55021" w:rsidRPr="00AD1AE3" w:rsidRDefault="00C55021" w:rsidP="0040218D">
            <w:pPr>
              <w:jc w:val="right"/>
              <w:rPr>
                <w:color w:val="000000"/>
                <w:sz w:val="24"/>
                <w:szCs w:val="24"/>
              </w:rPr>
            </w:pPr>
            <w:r w:rsidRPr="00AD1AE3">
              <w:rPr>
                <w:color w:val="000000"/>
                <w:sz w:val="24"/>
                <w:szCs w:val="24"/>
              </w:rPr>
              <w:t>$ 46</w:t>
            </w:r>
          </w:p>
        </w:tc>
      </w:tr>
      <w:tr w:rsidR="00C55021" w:rsidRPr="00AD1AE3" w:rsidTr="00AD1AE3">
        <w:trPr>
          <w:trHeight w:val="300"/>
        </w:trPr>
        <w:tc>
          <w:tcPr>
            <w:tcW w:w="1522" w:type="dxa"/>
            <w:vMerge/>
            <w:vAlign w:val="center"/>
            <w:hideMark/>
          </w:tcPr>
          <w:p w:rsidR="00C55021" w:rsidRPr="00AD1AE3" w:rsidRDefault="00C55021" w:rsidP="0040218D">
            <w:pPr>
              <w:rPr>
                <w:color w:val="000000"/>
                <w:sz w:val="24"/>
                <w:szCs w:val="24"/>
                <w:lang w:val="es-CO" w:eastAsia="es-CO"/>
              </w:rPr>
            </w:pPr>
          </w:p>
        </w:tc>
        <w:tc>
          <w:tcPr>
            <w:tcW w:w="595" w:type="dxa"/>
            <w:vMerge/>
            <w:vAlign w:val="center"/>
            <w:hideMark/>
          </w:tcPr>
          <w:p w:rsidR="00C55021" w:rsidRPr="00AD1AE3" w:rsidRDefault="00C55021" w:rsidP="0040218D">
            <w:pPr>
              <w:rPr>
                <w:color w:val="000000"/>
                <w:sz w:val="24"/>
                <w:szCs w:val="24"/>
                <w:lang w:val="es-CO" w:eastAsia="es-CO"/>
              </w:rPr>
            </w:pPr>
          </w:p>
        </w:tc>
        <w:tc>
          <w:tcPr>
            <w:tcW w:w="5900" w:type="dxa"/>
            <w:shd w:val="clear" w:color="auto" w:fill="auto"/>
            <w:noWrap/>
            <w:vAlign w:val="bottom"/>
            <w:hideMark/>
          </w:tcPr>
          <w:p w:rsidR="00C55021" w:rsidRPr="00AD1AE3" w:rsidRDefault="00C55021" w:rsidP="0040218D">
            <w:pPr>
              <w:rPr>
                <w:color w:val="000000"/>
                <w:sz w:val="24"/>
                <w:szCs w:val="24"/>
                <w:lang w:val="es-CO" w:eastAsia="es-CO"/>
              </w:rPr>
            </w:pPr>
            <w:r w:rsidRPr="00AD1AE3">
              <w:rPr>
                <w:color w:val="000000"/>
                <w:sz w:val="24"/>
                <w:szCs w:val="24"/>
                <w:lang w:val="es-CO" w:eastAsia="es-CO"/>
              </w:rPr>
              <w:t>A nivel, pisos en afirmado o césped</w:t>
            </w:r>
          </w:p>
        </w:tc>
        <w:tc>
          <w:tcPr>
            <w:tcW w:w="1134" w:type="dxa"/>
            <w:shd w:val="clear" w:color="auto" w:fill="auto"/>
            <w:noWrap/>
            <w:vAlign w:val="center"/>
            <w:hideMark/>
          </w:tcPr>
          <w:p w:rsidR="00C55021" w:rsidRPr="00AD1AE3" w:rsidRDefault="00C55021" w:rsidP="0040218D">
            <w:pPr>
              <w:jc w:val="right"/>
              <w:rPr>
                <w:color w:val="000000"/>
                <w:sz w:val="24"/>
                <w:szCs w:val="24"/>
              </w:rPr>
            </w:pPr>
            <w:r w:rsidRPr="00AD1AE3">
              <w:rPr>
                <w:color w:val="000000"/>
                <w:sz w:val="24"/>
                <w:szCs w:val="24"/>
              </w:rPr>
              <w:t>$ 39</w:t>
            </w:r>
          </w:p>
        </w:tc>
      </w:tr>
      <w:tr w:rsidR="00C55021" w:rsidRPr="00AD1AE3" w:rsidTr="00AD1AE3">
        <w:trPr>
          <w:trHeight w:val="300"/>
        </w:trPr>
        <w:tc>
          <w:tcPr>
            <w:tcW w:w="1522" w:type="dxa"/>
            <w:vMerge/>
            <w:vAlign w:val="center"/>
            <w:hideMark/>
          </w:tcPr>
          <w:p w:rsidR="00C55021" w:rsidRPr="00AD1AE3" w:rsidRDefault="00C55021" w:rsidP="0040218D">
            <w:pPr>
              <w:rPr>
                <w:color w:val="000000"/>
                <w:sz w:val="24"/>
                <w:szCs w:val="24"/>
                <w:lang w:val="es-CO" w:eastAsia="es-CO"/>
              </w:rPr>
            </w:pPr>
          </w:p>
        </w:tc>
        <w:tc>
          <w:tcPr>
            <w:tcW w:w="595" w:type="dxa"/>
            <w:vMerge w:val="restart"/>
            <w:shd w:val="clear" w:color="auto" w:fill="auto"/>
            <w:noWrap/>
            <w:vAlign w:val="center"/>
            <w:hideMark/>
          </w:tcPr>
          <w:p w:rsidR="00C55021" w:rsidRPr="00AD1AE3" w:rsidRDefault="00C55021" w:rsidP="0040218D">
            <w:pPr>
              <w:jc w:val="center"/>
              <w:rPr>
                <w:color w:val="000000"/>
                <w:sz w:val="24"/>
                <w:szCs w:val="24"/>
                <w:lang w:val="es-CO" w:eastAsia="es-CO"/>
              </w:rPr>
            </w:pPr>
            <w:r w:rsidRPr="00AD1AE3">
              <w:rPr>
                <w:color w:val="000000"/>
                <w:sz w:val="24"/>
                <w:szCs w:val="24"/>
                <w:lang w:val="es-CO" w:eastAsia="es-CO"/>
              </w:rPr>
              <w:t>0,8</w:t>
            </w:r>
          </w:p>
        </w:tc>
        <w:tc>
          <w:tcPr>
            <w:tcW w:w="5900" w:type="dxa"/>
            <w:shd w:val="clear" w:color="auto" w:fill="auto"/>
            <w:noWrap/>
            <w:vAlign w:val="center"/>
            <w:hideMark/>
          </w:tcPr>
          <w:p w:rsidR="00C55021" w:rsidRPr="00AD1AE3" w:rsidRDefault="00C55021" w:rsidP="0040218D">
            <w:pPr>
              <w:rPr>
                <w:color w:val="000000"/>
                <w:sz w:val="24"/>
                <w:szCs w:val="24"/>
                <w:lang w:val="es-CO" w:eastAsia="es-CO"/>
              </w:rPr>
            </w:pPr>
            <w:r w:rsidRPr="00AD1AE3">
              <w:rPr>
                <w:color w:val="000000"/>
                <w:sz w:val="24"/>
                <w:szCs w:val="24"/>
                <w:lang w:val="es-CO" w:eastAsia="es-CO"/>
              </w:rPr>
              <w:t>En altura o subterráneo con dos o más niveles</w:t>
            </w:r>
          </w:p>
        </w:tc>
        <w:tc>
          <w:tcPr>
            <w:tcW w:w="1134" w:type="dxa"/>
            <w:shd w:val="clear" w:color="auto" w:fill="auto"/>
            <w:noWrap/>
            <w:vAlign w:val="center"/>
            <w:hideMark/>
          </w:tcPr>
          <w:p w:rsidR="00C55021" w:rsidRPr="00AD1AE3" w:rsidRDefault="00C55021" w:rsidP="0040218D">
            <w:pPr>
              <w:jc w:val="right"/>
              <w:rPr>
                <w:color w:val="000000"/>
                <w:sz w:val="24"/>
                <w:szCs w:val="24"/>
              </w:rPr>
            </w:pPr>
            <w:r w:rsidRPr="00AD1AE3">
              <w:rPr>
                <w:color w:val="000000"/>
                <w:sz w:val="24"/>
                <w:szCs w:val="24"/>
              </w:rPr>
              <w:t>$ 62</w:t>
            </w:r>
          </w:p>
        </w:tc>
      </w:tr>
      <w:tr w:rsidR="00C55021" w:rsidRPr="00AD1AE3" w:rsidTr="00AD1AE3">
        <w:trPr>
          <w:trHeight w:val="600"/>
        </w:trPr>
        <w:tc>
          <w:tcPr>
            <w:tcW w:w="1522" w:type="dxa"/>
            <w:vMerge/>
            <w:vAlign w:val="center"/>
          </w:tcPr>
          <w:p w:rsidR="00C55021" w:rsidRPr="00AD1AE3" w:rsidRDefault="00C55021" w:rsidP="0040218D">
            <w:pPr>
              <w:rPr>
                <w:color w:val="000000"/>
                <w:sz w:val="24"/>
                <w:szCs w:val="24"/>
                <w:lang w:val="es-CO" w:eastAsia="es-CO"/>
              </w:rPr>
            </w:pPr>
          </w:p>
        </w:tc>
        <w:tc>
          <w:tcPr>
            <w:tcW w:w="595" w:type="dxa"/>
            <w:vMerge/>
            <w:vAlign w:val="center"/>
          </w:tcPr>
          <w:p w:rsidR="00C55021" w:rsidRPr="00AD1AE3" w:rsidRDefault="00C55021" w:rsidP="0040218D">
            <w:pPr>
              <w:rPr>
                <w:color w:val="000000"/>
                <w:sz w:val="24"/>
                <w:szCs w:val="24"/>
                <w:lang w:val="es-CO" w:eastAsia="es-CO"/>
              </w:rPr>
            </w:pPr>
          </w:p>
        </w:tc>
        <w:tc>
          <w:tcPr>
            <w:tcW w:w="5900" w:type="dxa"/>
            <w:shd w:val="clear" w:color="auto" w:fill="auto"/>
            <w:vAlign w:val="center"/>
          </w:tcPr>
          <w:p w:rsidR="00C55021" w:rsidRPr="00AD1AE3" w:rsidRDefault="00C55021" w:rsidP="0040218D">
            <w:pPr>
              <w:rPr>
                <w:color w:val="000000"/>
                <w:sz w:val="24"/>
                <w:szCs w:val="24"/>
                <w:lang w:val="es-CO" w:eastAsia="es-CO"/>
              </w:rPr>
            </w:pPr>
            <w:r w:rsidRPr="00AD1AE3">
              <w:rPr>
                <w:color w:val="000000"/>
                <w:sz w:val="24"/>
                <w:szCs w:val="24"/>
                <w:lang w:val="es-CO" w:eastAsia="es-CO"/>
              </w:rPr>
              <w:t>Subterráneo, un solo nivel y 50 cupos o más</w:t>
            </w:r>
          </w:p>
        </w:tc>
        <w:tc>
          <w:tcPr>
            <w:tcW w:w="1134" w:type="dxa"/>
            <w:shd w:val="clear" w:color="auto" w:fill="auto"/>
            <w:noWrap/>
            <w:vAlign w:val="center"/>
          </w:tcPr>
          <w:p w:rsidR="00C55021" w:rsidRPr="00AD1AE3" w:rsidRDefault="00C55021" w:rsidP="0040218D">
            <w:pPr>
              <w:jc w:val="right"/>
              <w:rPr>
                <w:color w:val="000000"/>
                <w:sz w:val="24"/>
                <w:szCs w:val="24"/>
              </w:rPr>
            </w:pPr>
            <w:r w:rsidRPr="00AD1AE3">
              <w:rPr>
                <w:color w:val="000000"/>
                <w:sz w:val="24"/>
                <w:szCs w:val="24"/>
              </w:rPr>
              <w:t>$ 55</w:t>
            </w:r>
          </w:p>
        </w:tc>
      </w:tr>
      <w:tr w:rsidR="00C55021" w:rsidRPr="00AD1AE3" w:rsidTr="00AD1AE3">
        <w:trPr>
          <w:trHeight w:val="600"/>
        </w:trPr>
        <w:tc>
          <w:tcPr>
            <w:tcW w:w="1522" w:type="dxa"/>
            <w:vMerge/>
            <w:vAlign w:val="center"/>
          </w:tcPr>
          <w:p w:rsidR="00C55021" w:rsidRPr="00AD1AE3" w:rsidRDefault="00C55021" w:rsidP="0040218D">
            <w:pPr>
              <w:rPr>
                <w:color w:val="000000"/>
                <w:sz w:val="24"/>
                <w:szCs w:val="24"/>
                <w:lang w:val="es-CO" w:eastAsia="es-CO"/>
              </w:rPr>
            </w:pPr>
          </w:p>
        </w:tc>
        <w:tc>
          <w:tcPr>
            <w:tcW w:w="595" w:type="dxa"/>
            <w:vMerge/>
            <w:vAlign w:val="center"/>
          </w:tcPr>
          <w:p w:rsidR="00C55021" w:rsidRPr="00AD1AE3" w:rsidRDefault="00C55021" w:rsidP="0040218D">
            <w:pPr>
              <w:rPr>
                <w:color w:val="000000"/>
                <w:sz w:val="24"/>
                <w:szCs w:val="24"/>
                <w:lang w:val="es-CO" w:eastAsia="es-CO"/>
              </w:rPr>
            </w:pPr>
          </w:p>
        </w:tc>
        <w:tc>
          <w:tcPr>
            <w:tcW w:w="5900" w:type="dxa"/>
            <w:shd w:val="clear" w:color="auto" w:fill="auto"/>
            <w:vAlign w:val="center"/>
          </w:tcPr>
          <w:p w:rsidR="00C55021" w:rsidRPr="00AD1AE3" w:rsidRDefault="00C55021" w:rsidP="0040218D">
            <w:pPr>
              <w:rPr>
                <w:color w:val="000000"/>
                <w:sz w:val="24"/>
                <w:szCs w:val="24"/>
                <w:lang w:val="es-CO" w:eastAsia="es-CO"/>
              </w:rPr>
            </w:pPr>
            <w:r w:rsidRPr="00AD1AE3">
              <w:rPr>
                <w:color w:val="000000"/>
                <w:sz w:val="24"/>
                <w:szCs w:val="24"/>
                <w:lang w:val="es-CO" w:eastAsia="es-CO"/>
              </w:rPr>
              <w:t>Subterráneo, un solo nivel y con menos de 50 cupos</w:t>
            </w:r>
          </w:p>
        </w:tc>
        <w:tc>
          <w:tcPr>
            <w:tcW w:w="1134" w:type="dxa"/>
            <w:shd w:val="clear" w:color="auto" w:fill="auto"/>
            <w:noWrap/>
            <w:vAlign w:val="center"/>
          </w:tcPr>
          <w:p w:rsidR="00C55021" w:rsidRPr="00AD1AE3" w:rsidRDefault="00C55021" w:rsidP="0040218D">
            <w:pPr>
              <w:jc w:val="right"/>
              <w:rPr>
                <w:color w:val="000000"/>
                <w:sz w:val="24"/>
                <w:szCs w:val="24"/>
              </w:rPr>
            </w:pPr>
            <w:r w:rsidRPr="00AD1AE3">
              <w:rPr>
                <w:color w:val="000000"/>
                <w:sz w:val="24"/>
                <w:szCs w:val="24"/>
              </w:rPr>
              <w:t>$ 49</w:t>
            </w:r>
          </w:p>
        </w:tc>
      </w:tr>
      <w:tr w:rsidR="00C55021" w:rsidRPr="00AD1AE3" w:rsidTr="00AD1AE3">
        <w:trPr>
          <w:trHeight w:val="600"/>
        </w:trPr>
        <w:tc>
          <w:tcPr>
            <w:tcW w:w="1522" w:type="dxa"/>
            <w:vMerge/>
            <w:vAlign w:val="center"/>
            <w:hideMark/>
          </w:tcPr>
          <w:p w:rsidR="00C55021" w:rsidRPr="00AD1AE3" w:rsidRDefault="00C55021" w:rsidP="0040218D">
            <w:pPr>
              <w:rPr>
                <w:color w:val="000000"/>
                <w:sz w:val="24"/>
                <w:szCs w:val="24"/>
                <w:lang w:val="es-CO" w:eastAsia="es-CO"/>
              </w:rPr>
            </w:pPr>
          </w:p>
        </w:tc>
        <w:tc>
          <w:tcPr>
            <w:tcW w:w="595" w:type="dxa"/>
            <w:vMerge/>
            <w:vAlign w:val="center"/>
            <w:hideMark/>
          </w:tcPr>
          <w:p w:rsidR="00C55021" w:rsidRPr="00AD1AE3" w:rsidRDefault="00C55021" w:rsidP="0040218D">
            <w:pPr>
              <w:rPr>
                <w:color w:val="000000"/>
                <w:sz w:val="24"/>
                <w:szCs w:val="24"/>
                <w:lang w:val="es-CO" w:eastAsia="es-CO"/>
              </w:rPr>
            </w:pPr>
          </w:p>
        </w:tc>
        <w:tc>
          <w:tcPr>
            <w:tcW w:w="5900" w:type="dxa"/>
            <w:shd w:val="clear" w:color="auto" w:fill="auto"/>
            <w:vAlign w:val="center"/>
            <w:hideMark/>
          </w:tcPr>
          <w:p w:rsidR="00C55021" w:rsidRPr="00AD1AE3" w:rsidRDefault="00C55021" w:rsidP="0040218D">
            <w:pPr>
              <w:rPr>
                <w:color w:val="000000"/>
                <w:sz w:val="24"/>
                <w:szCs w:val="24"/>
                <w:lang w:val="es-CO" w:eastAsia="es-CO"/>
              </w:rPr>
            </w:pPr>
            <w:r w:rsidRPr="00AD1AE3">
              <w:rPr>
                <w:color w:val="000000"/>
                <w:sz w:val="24"/>
                <w:szCs w:val="24"/>
                <w:lang w:val="es-CO" w:eastAsia="es-CO"/>
              </w:rPr>
              <w:t>A nivel, piso en concreto, asfalto o gravilla lavada de rio compactada, y con 50 cupos o más</w:t>
            </w:r>
          </w:p>
        </w:tc>
        <w:tc>
          <w:tcPr>
            <w:tcW w:w="1134" w:type="dxa"/>
            <w:shd w:val="clear" w:color="auto" w:fill="auto"/>
            <w:noWrap/>
            <w:vAlign w:val="center"/>
            <w:hideMark/>
          </w:tcPr>
          <w:p w:rsidR="00C55021" w:rsidRPr="00AD1AE3" w:rsidRDefault="00C55021" w:rsidP="0040218D">
            <w:pPr>
              <w:jc w:val="right"/>
              <w:rPr>
                <w:color w:val="000000"/>
                <w:sz w:val="24"/>
                <w:szCs w:val="24"/>
              </w:rPr>
            </w:pPr>
            <w:r w:rsidRPr="00AD1AE3">
              <w:rPr>
                <w:color w:val="000000"/>
                <w:sz w:val="24"/>
                <w:szCs w:val="24"/>
              </w:rPr>
              <w:t>$ 43</w:t>
            </w:r>
          </w:p>
        </w:tc>
      </w:tr>
      <w:tr w:rsidR="00C55021" w:rsidRPr="00AD1AE3" w:rsidTr="00AD1AE3">
        <w:trPr>
          <w:trHeight w:val="300"/>
        </w:trPr>
        <w:tc>
          <w:tcPr>
            <w:tcW w:w="1522" w:type="dxa"/>
            <w:vMerge/>
            <w:vAlign w:val="center"/>
          </w:tcPr>
          <w:p w:rsidR="00C55021" w:rsidRPr="00AD1AE3" w:rsidRDefault="00C55021" w:rsidP="0040218D">
            <w:pPr>
              <w:rPr>
                <w:color w:val="000000"/>
                <w:sz w:val="24"/>
                <w:szCs w:val="24"/>
                <w:lang w:val="es-CO" w:eastAsia="es-CO"/>
              </w:rPr>
            </w:pPr>
          </w:p>
        </w:tc>
        <w:tc>
          <w:tcPr>
            <w:tcW w:w="595" w:type="dxa"/>
            <w:vMerge/>
            <w:vAlign w:val="center"/>
          </w:tcPr>
          <w:p w:rsidR="00C55021" w:rsidRPr="00AD1AE3" w:rsidRDefault="00C55021" w:rsidP="0040218D">
            <w:pPr>
              <w:rPr>
                <w:color w:val="000000"/>
                <w:sz w:val="24"/>
                <w:szCs w:val="24"/>
                <w:lang w:val="es-CO" w:eastAsia="es-CO"/>
              </w:rPr>
            </w:pPr>
          </w:p>
        </w:tc>
        <w:tc>
          <w:tcPr>
            <w:tcW w:w="5900" w:type="dxa"/>
            <w:shd w:val="clear" w:color="auto" w:fill="auto"/>
            <w:noWrap/>
            <w:vAlign w:val="center"/>
          </w:tcPr>
          <w:p w:rsidR="00C55021" w:rsidRPr="00AD1AE3" w:rsidRDefault="00C55021" w:rsidP="0040218D">
            <w:pPr>
              <w:rPr>
                <w:color w:val="000000"/>
                <w:sz w:val="24"/>
                <w:szCs w:val="24"/>
                <w:lang w:val="es-CO" w:eastAsia="es-CO"/>
              </w:rPr>
            </w:pPr>
            <w:r w:rsidRPr="00AD1AE3">
              <w:rPr>
                <w:color w:val="000000"/>
                <w:sz w:val="24"/>
                <w:szCs w:val="24"/>
                <w:lang w:val="es-CO" w:eastAsia="es-CO"/>
              </w:rPr>
              <w:t>A nivel, piso en concreto, asfalto o gravilla lavada de río compactada, y con menos de 50 cupos</w:t>
            </w:r>
          </w:p>
        </w:tc>
        <w:tc>
          <w:tcPr>
            <w:tcW w:w="1134" w:type="dxa"/>
            <w:shd w:val="clear" w:color="auto" w:fill="auto"/>
            <w:noWrap/>
            <w:vAlign w:val="center"/>
          </w:tcPr>
          <w:p w:rsidR="00C55021" w:rsidRPr="00AD1AE3" w:rsidRDefault="00C55021" w:rsidP="0040218D">
            <w:pPr>
              <w:jc w:val="right"/>
              <w:rPr>
                <w:color w:val="000000"/>
                <w:sz w:val="24"/>
                <w:szCs w:val="24"/>
              </w:rPr>
            </w:pPr>
            <w:r w:rsidRPr="00AD1AE3">
              <w:rPr>
                <w:color w:val="000000"/>
                <w:sz w:val="24"/>
                <w:szCs w:val="24"/>
              </w:rPr>
              <w:t>$ 37</w:t>
            </w:r>
          </w:p>
        </w:tc>
      </w:tr>
      <w:tr w:rsidR="00C55021" w:rsidRPr="00AD1AE3" w:rsidTr="00AD1AE3">
        <w:trPr>
          <w:trHeight w:val="300"/>
        </w:trPr>
        <w:tc>
          <w:tcPr>
            <w:tcW w:w="1522" w:type="dxa"/>
            <w:vMerge/>
            <w:vAlign w:val="center"/>
            <w:hideMark/>
          </w:tcPr>
          <w:p w:rsidR="00C55021" w:rsidRPr="00AD1AE3" w:rsidRDefault="00C55021" w:rsidP="0040218D">
            <w:pPr>
              <w:rPr>
                <w:color w:val="000000"/>
                <w:sz w:val="24"/>
                <w:szCs w:val="24"/>
                <w:lang w:val="es-CO" w:eastAsia="es-CO"/>
              </w:rPr>
            </w:pPr>
          </w:p>
        </w:tc>
        <w:tc>
          <w:tcPr>
            <w:tcW w:w="595" w:type="dxa"/>
            <w:vMerge/>
            <w:vAlign w:val="center"/>
            <w:hideMark/>
          </w:tcPr>
          <w:p w:rsidR="00C55021" w:rsidRPr="00AD1AE3" w:rsidRDefault="00C55021" w:rsidP="0040218D">
            <w:pPr>
              <w:rPr>
                <w:color w:val="000000"/>
                <w:sz w:val="24"/>
                <w:szCs w:val="24"/>
                <w:lang w:val="es-CO" w:eastAsia="es-CO"/>
              </w:rPr>
            </w:pPr>
          </w:p>
        </w:tc>
        <w:tc>
          <w:tcPr>
            <w:tcW w:w="5900" w:type="dxa"/>
            <w:shd w:val="clear" w:color="auto" w:fill="auto"/>
            <w:noWrap/>
            <w:vAlign w:val="bottom"/>
            <w:hideMark/>
          </w:tcPr>
          <w:p w:rsidR="00C55021" w:rsidRPr="00AD1AE3" w:rsidRDefault="00C55021" w:rsidP="0040218D">
            <w:pPr>
              <w:rPr>
                <w:color w:val="000000"/>
                <w:sz w:val="24"/>
                <w:szCs w:val="24"/>
                <w:lang w:val="es-CO" w:eastAsia="es-CO"/>
              </w:rPr>
            </w:pPr>
            <w:r w:rsidRPr="00AD1AE3">
              <w:rPr>
                <w:color w:val="000000"/>
                <w:sz w:val="24"/>
                <w:szCs w:val="24"/>
                <w:lang w:val="es-CO" w:eastAsia="es-CO"/>
              </w:rPr>
              <w:t>A nivel, pisos en afirmado o césped</w:t>
            </w:r>
          </w:p>
        </w:tc>
        <w:tc>
          <w:tcPr>
            <w:tcW w:w="1134" w:type="dxa"/>
            <w:shd w:val="clear" w:color="auto" w:fill="auto"/>
            <w:noWrap/>
            <w:vAlign w:val="center"/>
            <w:hideMark/>
          </w:tcPr>
          <w:p w:rsidR="00C55021" w:rsidRPr="00AD1AE3" w:rsidRDefault="00C55021" w:rsidP="0040218D">
            <w:pPr>
              <w:jc w:val="right"/>
              <w:rPr>
                <w:color w:val="000000"/>
                <w:sz w:val="24"/>
                <w:szCs w:val="24"/>
              </w:rPr>
            </w:pPr>
            <w:r w:rsidRPr="00AD1AE3">
              <w:rPr>
                <w:color w:val="000000"/>
                <w:sz w:val="24"/>
                <w:szCs w:val="24"/>
              </w:rPr>
              <w:t>$ 31</w:t>
            </w:r>
          </w:p>
        </w:tc>
      </w:tr>
    </w:tbl>
    <w:p w:rsidR="00C55021" w:rsidRPr="00C55021" w:rsidRDefault="00C55021" w:rsidP="00C55021">
      <w:pPr>
        <w:shd w:val="clear" w:color="auto" w:fill="FFFFFF"/>
        <w:ind w:left="-426" w:right="-426"/>
        <w:jc w:val="both"/>
        <w:rPr>
          <w:bCs/>
          <w:color w:val="000000"/>
          <w:sz w:val="24"/>
          <w:szCs w:val="24"/>
          <w:lang w:eastAsia="es-CO"/>
        </w:rPr>
      </w:pPr>
    </w:p>
    <w:p w:rsidR="00C55021" w:rsidRPr="00C55021" w:rsidRDefault="00C55021" w:rsidP="00C55021">
      <w:pPr>
        <w:shd w:val="clear" w:color="auto" w:fill="FFFFFF"/>
        <w:ind w:left="-426" w:right="-426"/>
        <w:jc w:val="both"/>
        <w:rPr>
          <w:bCs/>
          <w:color w:val="000000"/>
          <w:sz w:val="24"/>
          <w:szCs w:val="24"/>
          <w:lang w:eastAsia="es-CO"/>
        </w:rPr>
      </w:pPr>
    </w:p>
    <w:p w:rsidR="00C55021" w:rsidRPr="00C55021" w:rsidRDefault="00C55021" w:rsidP="000F3AE2">
      <w:pPr>
        <w:shd w:val="clear" w:color="auto" w:fill="FFFFFF"/>
        <w:ind w:right="-426"/>
        <w:jc w:val="both"/>
        <w:rPr>
          <w:bCs/>
          <w:color w:val="000000"/>
          <w:sz w:val="24"/>
          <w:szCs w:val="24"/>
          <w:lang w:eastAsia="es-CO"/>
        </w:rPr>
      </w:pPr>
      <w:r w:rsidRPr="00C55021">
        <w:rPr>
          <w:b/>
          <w:bCs/>
          <w:color w:val="000000"/>
          <w:sz w:val="24"/>
          <w:szCs w:val="24"/>
          <w:lang w:eastAsia="es-CO"/>
        </w:rPr>
        <w:t>Parágrafo 1° -</w:t>
      </w:r>
      <w:r w:rsidRPr="00C55021">
        <w:rPr>
          <w:bCs/>
          <w:color w:val="000000"/>
          <w:sz w:val="24"/>
          <w:szCs w:val="24"/>
          <w:lang w:eastAsia="es-CO"/>
        </w:rPr>
        <w:t xml:space="preserve"> El valor máximo del servicio de parqueadero por minuto para bicicletas en cualquier estacionamiento, en cualquier zona y nivel de servicio será de diez pesos m/cte. ($10).</w:t>
      </w:r>
    </w:p>
    <w:p w:rsidR="00C55021" w:rsidRPr="00C55021" w:rsidRDefault="00C55021" w:rsidP="00C55021">
      <w:pPr>
        <w:shd w:val="clear" w:color="auto" w:fill="FFFFFF"/>
        <w:ind w:left="-426" w:right="-426"/>
        <w:jc w:val="both"/>
        <w:rPr>
          <w:bCs/>
          <w:color w:val="000000"/>
          <w:sz w:val="24"/>
          <w:szCs w:val="24"/>
          <w:lang w:eastAsia="es-CO"/>
        </w:rPr>
      </w:pPr>
    </w:p>
    <w:p w:rsidR="00C55021" w:rsidRPr="00C55021" w:rsidRDefault="00C55021" w:rsidP="000F3AE2">
      <w:pPr>
        <w:shd w:val="clear" w:color="auto" w:fill="FFFFFF"/>
        <w:ind w:right="-426"/>
        <w:jc w:val="both"/>
        <w:rPr>
          <w:bCs/>
          <w:color w:val="000000"/>
          <w:sz w:val="24"/>
          <w:szCs w:val="24"/>
          <w:lang w:eastAsia="es-CO"/>
        </w:rPr>
      </w:pPr>
      <w:r w:rsidRPr="00C55021">
        <w:rPr>
          <w:b/>
          <w:bCs/>
          <w:color w:val="000000"/>
          <w:sz w:val="24"/>
          <w:szCs w:val="24"/>
          <w:lang w:eastAsia="es-CO"/>
        </w:rPr>
        <w:t>Parágrafo 2º -</w:t>
      </w:r>
      <w:r w:rsidRPr="00C55021">
        <w:rPr>
          <w:bCs/>
          <w:color w:val="000000"/>
          <w:sz w:val="24"/>
          <w:szCs w:val="24"/>
          <w:lang w:eastAsia="es-CO"/>
        </w:rPr>
        <w:t xml:space="preserve"> La liquidación del valor final del servicio se aproximará al múltiplo de cincuenta pesos m/cte. ($50.oo) siguiente.</w:t>
      </w:r>
    </w:p>
    <w:p w:rsidR="00C55021" w:rsidRPr="00C55021" w:rsidRDefault="00C55021" w:rsidP="00C55021">
      <w:pPr>
        <w:shd w:val="clear" w:color="auto" w:fill="FFFFFF"/>
        <w:ind w:left="-426" w:right="-426"/>
        <w:jc w:val="both"/>
        <w:rPr>
          <w:bCs/>
          <w:color w:val="000000"/>
          <w:sz w:val="24"/>
          <w:szCs w:val="24"/>
          <w:lang w:eastAsia="es-CO"/>
        </w:rPr>
      </w:pPr>
    </w:p>
    <w:p w:rsidR="00C55021" w:rsidRPr="00C55021" w:rsidRDefault="00C55021" w:rsidP="000F3AE2">
      <w:pPr>
        <w:shd w:val="clear" w:color="auto" w:fill="FFFFFF"/>
        <w:ind w:right="-426"/>
        <w:jc w:val="both"/>
        <w:rPr>
          <w:bCs/>
          <w:color w:val="000000"/>
          <w:sz w:val="24"/>
          <w:szCs w:val="24"/>
          <w:lang w:eastAsia="es-CO"/>
        </w:rPr>
      </w:pPr>
      <w:r w:rsidRPr="00C55021">
        <w:rPr>
          <w:b/>
          <w:bCs/>
          <w:color w:val="000000"/>
          <w:sz w:val="24"/>
          <w:szCs w:val="24"/>
          <w:lang w:eastAsia="es-CO"/>
        </w:rPr>
        <w:t>Parágrafo 3°-</w:t>
      </w:r>
      <w:r w:rsidRPr="00C55021">
        <w:rPr>
          <w:bCs/>
          <w:color w:val="000000"/>
          <w:sz w:val="24"/>
          <w:szCs w:val="24"/>
          <w:lang w:eastAsia="es-CO"/>
        </w:rPr>
        <w:t xml:space="preserve"> No podrá exigirse a los usuarios, períodos de permanencia mínimos para el cobro de la tarifa por minutos. En todo caso, podrán adoptarse esquemas de cobro que resulten inferiores al valor liquidado desde el ingreso del vehículo, como el cobro por días, mensualidades, </w:t>
      </w:r>
      <w:r w:rsidRPr="00C55021">
        <w:rPr>
          <w:bCs/>
          <w:color w:val="000000"/>
          <w:sz w:val="24"/>
          <w:szCs w:val="24"/>
          <w:lang w:eastAsia="es-CO"/>
        </w:rPr>
        <w:lastRenderedPageBreak/>
        <w:t>anualidades u otros, los que serán aplicables, siempre que sean iguales o inferiores al resultado del tiempo de permanencia real de la tarifa por minutos correspondiente.</w:t>
      </w:r>
    </w:p>
    <w:p w:rsidR="00C55021" w:rsidRPr="00C55021" w:rsidRDefault="00C55021" w:rsidP="00C55021">
      <w:pPr>
        <w:shd w:val="clear" w:color="auto" w:fill="FFFFFF"/>
        <w:ind w:left="-426" w:right="-426"/>
        <w:jc w:val="both"/>
        <w:rPr>
          <w:bCs/>
          <w:color w:val="000000"/>
          <w:sz w:val="24"/>
          <w:szCs w:val="24"/>
          <w:lang w:eastAsia="es-CO"/>
        </w:rPr>
      </w:pPr>
    </w:p>
    <w:p w:rsidR="00C55021" w:rsidRPr="00C55021" w:rsidRDefault="00C55021" w:rsidP="000F3AE2">
      <w:pPr>
        <w:shd w:val="clear" w:color="auto" w:fill="FFFFFF"/>
        <w:ind w:right="-426"/>
        <w:jc w:val="both"/>
        <w:rPr>
          <w:b/>
          <w:bCs/>
          <w:color w:val="000000"/>
          <w:sz w:val="24"/>
          <w:szCs w:val="24"/>
          <w:lang w:eastAsia="es-CO"/>
        </w:rPr>
      </w:pPr>
      <w:r w:rsidRPr="00C55021">
        <w:rPr>
          <w:b/>
          <w:bCs/>
          <w:color w:val="000000"/>
          <w:sz w:val="24"/>
          <w:szCs w:val="24"/>
          <w:lang w:eastAsia="es-CO"/>
        </w:rPr>
        <w:t>Parágrafo 4°-</w:t>
      </w:r>
      <w:r w:rsidRPr="00C55021">
        <w:rPr>
          <w:bCs/>
          <w:color w:val="000000"/>
          <w:sz w:val="24"/>
          <w:szCs w:val="24"/>
          <w:lang w:eastAsia="es-CO"/>
        </w:rPr>
        <w:t xml:space="preserve"> El monto máximo de las tarifas señaladas en este artículo deben considerar o tener en cuenta el porcentaje correspondiente al IVA y demás impuestos y costos administrativos que el servicio conlleva.</w:t>
      </w:r>
    </w:p>
    <w:p w:rsidR="00C55021" w:rsidRPr="00C55021" w:rsidRDefault="00C55021" w:rsidP="00C55021">
      <w:pPr>
        <w:shd w:val="clear" w:color="auto" w:fill="FFFFFF"/>
        <w:ind w:left="-426" w:right="-426"/>
        <w:jc w:val="both"/>
        <w:rPr>
          <w:bCs/>
          <w:color w:val="000000"/>
          <w:sz w:val="24"/>
          <w:szCs w:val="24"/>
          <w:lang w:eastAsia="es-CO"/>
        </w:rPr>
      </w:pPr>
    </w:p>
    <w:p w:rsidR="00F22112" w:rsidRDefault="00C55021" w:rsidP="000F3AE2">
      <w:pPr>
        <w:shd w:val="clear" w:color="auto" w:fill="FFFFFF"/>
        <w:ind w:right="-426"/>
        <w:jc w:val="both"/>
        <w:rPr>
          <w:bCs/>
          <w:color w:val="000000"/>
          <w:sz w:val="24"/>
          <w:szCs w:val="24"/>
          <w:lang w:eastAsia="es-CO"/>
        </w:rPr>
      </w:pPr>
      <w:r w:rsidRPr="00C55021">
        <w:rPr>
          <w:b/>
          <w:bCs/>
          <w:color w:val="000000"/>
          <w:sz w:val="24"/>
          <w:szCs w:val="24"/>
          <w:lang w:eastAsia="es-CO"/>
        </w:rPr>
        <w:t>Parágrafo 5°-</w:t>
      </w:r>
      <w:r w:rsidRPr="00C55021">
        <w:rPr>
          <w:bCs/>
          <w:color w:val="000000"/>
          <w:sz w:val="24"/>
          <w:szCs w:val="24"/>
          <w:lang w:eastAsia="es-CO"/>
        </w:rPr>
        <w:t xml:space="preserve">  Los establecimientos que</w:t>
      </w:r>
      <w:r w:rsidR="0052753A">
        <w:rPr>
          <w:bCs/>
          <w:color w:val="000000"/>
          <w:sz w:val="24"/>
          <w:szCs w:val="24"/>
          <w:lang w:eastAsia="es-CO"/>
        </w:rPr>
        <w:t>, previo a la entrada en vigencia del presente decreto</w:t>
      </w:r>
      <w:r w:rsidR="00840291">
        <w:rPr>
          <w:bCs/>
          <w:color w:val="000000"/>
          <w:sz w:val="24"/>
          <w:szCs w:val="24"/>
          <w:lang w:eastAsia="es-CO"/>
        </w:rPr>
        <w:t>,</w:t>
      </w:r>
      <w:r w:rsidR="00602F39">
        <w:rPr>
          <w:bCs/>
          <w:color w:val="000000"/>
          <w:sz w:val="24"/>
          <w:szCs w:val="24"/>
          <w:lang w:eastAsia="es-CO"/>
        </w:rPr>
        <w:t xml:space="preserve"> hubiesen registrado</w:t>
      </w:r>
      <w:r w:rsidRPr="00C55021">
        <w:rPr>
          <w:bCs/>
          <w:color w:val="000000"/>
          <w:sz w:val="24"/>
          <w:szCs w:val="24"/>
          <w:lang w:eastAsia="es-CO"/>
        </w:rPr>
        <w:t xml:space="preserve"> ante las alcaldías locales </w:t>
      </w:r>
      <w:r w:rsidR="00F22112">
        <w:rPr>
          <w:bCs/>
          <w:color w:val="000000"/>
          <w:sz w:val="24"/>
          <w:szCs w:val="24"/>
          <w:lang w:eastAsia="es-CO"/>
        </w:rPr>
        <w:t>un valor por minuto</w:t>
      </w:r>
      <w:r w:rsidR="00FA376A">
        <w:rPr>
          <w:bCs/>
          <w:color w:val="000000"/>
          <w:sz w:val="24"/>
          <w:szCs w:val="24"/>
          <w:lang w:eastAsia="es-CO"/>
        </w:rPr>
        <w:t xml:space="preserve"> mayor a</w:t>
      </w:r>
      <w:r w:rsidR="00F22112">
        <w:rPr>
          <w:bCs/>
          <w:color w:val="000000"/>
          <w:sz w:val="24"/>
          <w:szCs w:val="24"/>
          <w:lang w:eastAsia="es-CO"/>
        </w:rPr>
        <w:t xml:space="preserve">l que resulta de la aplicación de los factores del artículo 3° del presente decreto, podrán cobrar </w:t>
      </w:r>
      <w:r w:rsidR="00840291">
        <w:rPr>
          <w:bCs/>
          <w:color w:val="000000"/>
          <w:sz w:val="24"/>
          <w:szCs w:val="24"/>
          <w:lang w:eastAsia="es-CO"/>
        </w:rPr>
        <w:t>como máximo</w:t>
      </w:r>
      <w:r w:rsidR="00F22112">
        <w:rPr>
          <w:bCs/>
          <w:color w:val="000000"/>
          <w:sz w:val="24"/>
          <w:szCs w:val="24"/>
          <w:lang w:eastAsia="es-CO"/>
        </w:rPr>
        <w:t xml:space="preserve"> </w:t>
      </w:r>
      <w:r w:rsidR="00602F39">
        <w:rPr>
          <w:bCs/>
          <w:color w:val="000000"/>
          <w:sz w:val="24"/>
          <w:szCs w:val="24"/>
          <w:lang w:eastAsia="es-CO"/>
        </w:rPr>
        <w:t>la</w:t>
      </w:r>
      <w:r w:rsidR="00F22112">
        <w:rPr>
          <w:bCs/>
          <w:color w:val="000000"/>
          <w:sz w:val="24"/>
          <w:szCs w:val="24"/>
          <w:lang w:eastAsia="es-CO"/>
        </w:rPr>
        <w:t xml:space="preserve"> tarifa </w:t>
      </w:r>
      <w:r w:rsidR="00602F39">
        <w:rPr>
          <w:bCs/>
          <w:color w:val="000000"/>
          <w:sz w:val="24"/>
          <w:szCs w:val="24"/>
          <w:lang w:eastAsia="es-CO"/>
        </w:rPr>
        <w:t xml:space="preserve">ya </w:t>
      </w:r>
      <w:r w:rsidR="00F22112">
        <w:rPr>
          <w:bCs/>
          <w:color w:val="000000"/>
          <w:sz w:val="24"/>
          <w:szCs w:val="24"/>
          <w:lang w:eastAsia="es-CO"/>
        </w:rPr>
        <w:t xml:space="preserve">registrada. </w:t>
      </w:r>
    </w:p>
    <w:p w:rsidR="00C55021" w:rsidRPr="00C55021" w:rsidRDefault="00C55021" w:rsidP="00C55021">
      <w:pPr>
        <w:shd w:val="clear" w:color="auto" w:fill="FFFFFF"/>
        <w:ind w:left="-426" w:right="-426"/>
        <w:jc w:val="both"/>
        <w:rPr>
          <w:bCs/>
          <w:color w:val="000000"/>
          <w:sz w:val="24"/>
          <w:szCs w:val="24"/>
          <w:lang w:eastAsia="es-CO"/>
        </w:rPr>
      </w:pPr>
    </w:p>
    <w:p w:rsidR="00C55021" w:rsidRPr="00C55021" w:rsidRDefault="00C55021" w:rsidP="000F3AE2">
      <w:pPr>
        <w:shd w:val="clear" w:color="auto" w:fill="FFFFFF"/>
        <w:ind w:right="-426"/>
        <w:jc w:val="both"/>
        <w:rPr>
          <w:bCs/>
          <w:color w:val="000000"/>
          <w:sz w:val="24"/>
          <w:szCs w:val="24"/>
          <w:lang w:eastAsia="es-CO"/>
        </w:rPr>
      </w:pPr>
      <w:r w:rsidRPr="00C55021">
        <w:rPr>
          <w:b/>
          <w:bCs/>
          <w:color w:val="000000"/>
          <w:sz w:val="24"/>
          <w:szCs w:val="24"/>
          <w:lang w:eastAsia="es-CO"/>
        </w:rPr>
        <w:t>Parágrafo 6°-</w:t>
      </w:r>
      <w:r w:rsidRPr="00C55021">
        <w:rPr>
          <w:bCs/>
          <w:color w:val="000000"/>
          <w:sz w:val="24"/>
          <w:szCs w:val="24"/>
          <w:lang w:eastAsia="es-CO"/>
        </w:rPr>
        <w:t xml:space="preserve"> Los estacionamientos permitidos publicarán en un lugar visible del acceso al establecimiento la información establecida en el artículo 118 del Acuerdo 79 de 2003, modificado por el artículo 1 del Acuerdo Distrital 580 de 2015.</w:t>
      </w:r>
    </w:p>
    <w:p w:rsidR="00C55021" w:rsidRPr="00C55021" w:rsidRDefault="00C55021" w:rsidP="00C55021">
      <w:pPr>
        <w:shd w:val="clear" w:color="auto" w:fill="FFFFFF"/>
        <w:ind w:right="-426"/>
        <w:jc w:val="both"/>
        <w:rPr>
          <w:bCs/>
          <w:color w:val="000000"/>
          <w:sz w:val="24"/>
          <w:szCs w:val="24"/>
          <w:lang w:eastAsia="es-CO"/>
        </w:rPr>
      </w:pPr>
    </w:p>
    <w:p w:rsidR="00C55021" w:rsidRPr="00C55021" w:rsidRDefault="00C55021" w:rsidP="000F3AE2">
      <w:pPr>
        <w:shd w:val="clear" w:color="auto" w:fill="FFFFFF"/>
        <w:ind w:right="-426"/>
        <w:jc w:val="both"/>
        <w:rPr>
          <w:bCs/>
          <w:color w:val="000000"/>
          <w:sz w:val="24"/>
          <w:szCs w:val="24"/>
          <w:lang w:eastAsia="es-CO"/>
        </w:rPr>
      </w:pPr>
      <w:r w:rsidRPr="00C55021">
        <w:rPr>
          <w:b/>
          <w:bCs/>
          <w:color w:val="000000"/>
          <w:sz w:val="24"/>
          <w:szCs w:val="24"/>
          <w:lang w:eastAsia="es-CO"/>
        </w:rPr>
        <w:t>Artículo 5°- Factura.</w:t>
      </w:r>
      <w:r w:rsidRPr="00C55021">
        <w:rPr>
          <w:bCs/>
          <w:color w:val="000000"/>
          <w:sz w:val="24"/>
          <w:szCs w:val="24"/>
          <w:lang w:eastAsia="es-CO"/>
        </w:rPr>
        <w:t xml:space="preserve"> Sin excepción, se deberá entregar al usuario la factura que contenga los requisitos del Código de Comercio, la Ley 1231 de 2008 y normas concordantes, o documento equivalente que contenga el número de la póliza, la compañía aseguradora, el procedimiento de reclamación, la fecha de vigencia y un número telefónico de la compañía de seguros para información sobre coberturas y trámites para las reclamaciones.</w:t>
      </w:r>
    </w:p>
    <w:p w:rsidR="00C55021" w:rsidRPr="00C55021" w:rsidRDefault="00C55021" w:rsidP="00C55021">
      <w:pPr>
        <w:shd w:val="clear" w:color="auto" w:fill="FFFFFF"/>
        <w:ind w:left="-426" w:right="-426"/>
        <w:jc w:val="both"/>
        <w:rPr>
          <w:bCs/>
          <w:color w:val="000000"/>
          <w:sz w:val="24"/>
          <w:szCs w:val="24"/>
          <w:lang w:eastAsia="es-CO"/>
        </w:rPr>
      </w:pPr>
    </w:p>
    <w:p w:rsidR="00C55021" w:rsidRPr="00C55021" w:rsidRDefault="00C55021" w:rsidP="000F3AE2">
      <w:pPr>
        <w:shd w:val="clear" w:color="auto" w:fill="FFFFFF"/>
        <w:ind w:right="-426"/>
        <w:jc w:val="both"/>
        <w:rPr>
          <w:bCs/>
          <w:color w:val="000000"/>
          <w:sz w:val="24"/>
          <w:szCs w:val="24"/>
          <w:lang w:eastAsia="es-CO"/>
        </w:rPr>
      </w:pPr>
      <w:r w:rsidRPr="00C55021">
        <w:rPr>
          <w:b/>
          <w:bCs/>
          <w:color w:val="000000"/>
          <w:sz w:val="24"/>
          <w:szCs w:val="24"/>
          <w:lang w:eastAsia="es-CO"/>
        </w:rPr>
        <w:t>Artículo 6º-</w:t>
      </w:r>
      <w:r w:rsidRPr="00C55021">
        <w:rPr>
          <w:bCs/>
          <w:color w:val="000000"/>
          <w:sz w:val="24"/>
          <w:szCs w:val="24"/>
          <w:lang w:eastAsia="es-CO"/>
        </w:rPr>
        <w:t xml:space="preserve"> </w:t>
      </w:r>
      <w:r w:rsidRPr="00C55021">
        <w:rPr>
          <w:b/>
          <w:bCs/>
          <w:color w:val="000000"/>
          <w:sz w:val="24"/>
          <w:szCs w:val="24"/>
          <w:lang w:eastAsia="es-CO"/>
        </w:rPr>
        <w:t>Vigilancia.</w:t>
      </w:r>
      <w:r w:rsidRPr="00C55021">
        <w:rPr>
          <w:bCs/>
          <w:color w:val="000000"/>
          <w:sz w:val="24"/>
          <w:szCs w:val="24"/>
          <w:lang w:eastAsia="es-CO"/>
        </w:rPr>
        <w:t xml:space="preserve"> Las Alcaldías Locales se encargarán de vigilar el estricto cumplimiento de lo previsto en el presente decreto, en razón a lo establecido en artículo 86 del Decreto Ley 1421 de 1993 y el parágrafo cuarto del artículo 118 del Acuerdo Distrital 79 de 2003, modificado por el artículo 1 del Acuerdo Distrital 580 de 2015.</w:t>
      </w:r>
    </w:p>
    <w:p w:rsidR="00C55021" w:rsidRPr="00C55021" w:rsidRDefault="00C55021" w:rsidP="00C55021">
      <w:pPr>
        <w:shd w:val="clear" w:color="auto" w:fill="FFFFFF"/>
        <w:ind w:left="-426" w:right="-426"/>
        <w:jc w:val="both"/>
        <w:rPr>
          <w:bCs/>
          <w:color w:val="000000"/>
          <w:sz w:val="24"/>
          <w:szCs w:val="24"/>
          <w:lang w:eastAsia="es-CO"/>
        </w:rPr>
      </w:pPr>
    </w:p>
    <w:p w:rsidR="00C55021" w:rsidRPr="00C55021" w:rsidRDefault="00C55021" w:rsidP="000F3AE2">
      <w:pPr>
        <w:shd w:val="clear" w:color="auto" w:fill="FFFFFF"/>
        <w:ind w:right="-426"/>
        <w:jc w:val="both"/>
        <w:rPr>
          <w:b/>
          <w:bCs/>
          <w:color w:val="000000"/>
          <w:sz w:val="24"/>
          <w:szCs w:val="24"/>
          <w:lang w:eastAsia="es-CO"/>
        </w:rPr>
      </w:pPr>
      <w:r w:rsidRPr="00C55021">
        <w:rPr>
          <w:b/>
          <w:bCs/>
          <w:color w:val="000000"/>
          <w:sz w:val="24"/>
          <w:szCs w:val="24"/>
          <w:lang w:eastAsia="es-CO"/>
        </w:rPr>
        <w:t>Artículo 7º- Excepciones.</w:t>
      </w:r>
      <w:r w:rsidRPr="00C55021">
        <w:rPr>
          <w:bCs/>
          <w:color w:val="000000"/>
          <w:sz w:val="24"/>
          <w:szCs w:val="24"/>
          <w:lang w:eastAsia="es-CO"/>
        </w:rPr>
        <w:t xml:space="preserve"> Las tarifas dispuestas en el presente Decreto no se aplicarán a los estacionamientos que operen en virtud de contratos celebrados con Entidades Distritales.</w:t>
      </w:r>
    </w:p>
    <w:p w:rsidR="00C55021" w:rsidRPr="00C55021" w:rsidRDefault="00C55021" w:rsidP="00C55021">
      <w:pPr>
        <w:shd w:val="clear" w:color="auto" w:fill="FFFFFF"/>
        <w:ind w:left="-426" w:right="-426"/>
        <w:jc w:val="both"/>
        <w:rPr>
          <w:bCs/>
          <w:color w:val="000000"/>
          <w:sz w:val="24"/>
          <w:szCs w:val="24"/>
          <w:lang w:eastAsia="es-CO"/>
        </w:rPr>
      </w:pPr>
    </w:p>
    <w:p w:rsidR="00C55021" w:rsidRPr="00C55021" w:rsidRDefault="00C55021" w:rsidP="00C55021">
      <w:pPr>
        <w:shd w:val="clear" w:color="auto" w:fill="FFFFFF"/>
        <w:ind w:left="-426" w:right="-426"/>
        <w:jc w:val="both"/>
        <w:rPr>
          <w:b/>
          <w:bCs/>
          <w:color w:val="000000"/>
          <w:sz w:val="24"/>
          <w:szCs w:val="24"/>
          <w:lang w:eastAsia="es-CO"/>
        </w:rPr>
      </w:pPr>
    </w:p>
    <w:p w:rsidR="00C55021" w:rsidRPr="00C55021" w:rsidRDefault="00C55021" w:rsidP="00C55021">
      <w:pPr>
        <w:shd w:val="clear" w:color="auto" w:fill="FFFFFF"/>
        <w:ind w:left="-426" w:right="-426"/>
        <w:jc w:val="both"/>
        <w:rPr>
          <w:b/>
          <w:bCs/>
          <w:color w:val="000000"/>
          <w:sz w:val="24"/>
          <w:szCs w:val="24"/>
          <w:lang w:eastAsia="es-CO"/>
        </w:rPr>
      </w:pPr>
    </w:p>
    <w:p w:rsidR="00A3637C" w:rsidRPr="000F3AE2" w:rsidRDefault="00C55021" w:rsidP="000F3AE2">
      <w:pPr>
        <w:shd w:val="clear" w:color="auto" w:fill="FFFFFF"/>
        <w:ind w:right="-426"/>
        <w:jc w:val="both"/>
        <w:rPr>
          <w:bCs/>
          <w:color w:val="000000"/>
          <w:sz w:val="24"/>
          <w:szCs w:val="24"/>
          <w:lang w:eastAsia="es-CO"/>
        </w:rPr>
      </w:pPr>
      <w:r w:rsidRPr="00C55021">
        <w:rPr>
          <w:b/>
          <w:bCs/>
          <w:color w:val="000000"/>
          <w:sz w:val="24"/>
          <w:szCs w:val="24"/>
          <w:lang w:eastAsia="es-CO"/>
        </w:rPr>
        <w:lastRenderedPageBreak/>
        <w:t>Artículo 8º-</w:t>
      </w:r>
      <w:r w:rsidRPr="00C55021">
        <w:rPr>
          <w:bCs/>
          <w:color w:val="000000"/>
          <w:sz w:val="24"/>
          <w:szCs w:val="24"/>
          <w:lang w:eastAsia="es-CO"/>
        </w:rPr>
        <w:t xml:space="preserve"> </w:t>
      </w:r>
      <w:r w:rsidRPr="00C55021">
        <w:rPr>
          <w:b/>
          <w:bCs/>
          <w:color w:val="000000"/>
          <w:sz w:val="24"/>
          <w:szCs w:val="24"/>
          <w:lang w:eastAsia="es-CO"/>
        </w:rPr>
        <w:t>Vigencia y derogatorias.</w:t>
      </w:r>
      <w:r w:rsidRPr="00C55021">
        <w:rPr>
          <w:bCs/>
          <w:color w:val="000000"/>
          <w:sz w:val="24"/>
          <w:szCs w:val="24"/>
          <w:lang w:eastAsia="es-CO"/>
        </w:rPr>
        <w:t xml:space="preserve"> El presente decreto rige a partir del día siguiente a su publicación y deroga el Decreto Distrital 217 de 2017 y todas las disposiciones que le sean contrarias.</w:t>
      </w:r>
    </w:p>
    <w:p w:rsidR="00A3637C" w:rsidRDefault="00A3637C" w:rsidP="00A3637C">
      <w:pPr>
        <w:jc w:val="both"/>
        <w:rPr>
          <w:b/>
          <w:sz w:val="24"/>
          <w:szCs w:val="24"/>
        </w:rPr>
      </w:pPr>
    </w:p>
    <w:p w:rsidR="00A3637C" w:rsidRDefault="000F3AE2" w:rsidP="000F3AE2">
      <w:pPr>
        <w:jc w:val="center"/>
        <w:rPr>
          <w:sz w:val="24"/>
          <w:szCs w:val="24"/>
        </w:rPr>
      </w:pPr>
      <w:r>
        <w:rPr>
          <w:b/>
          <w:sz w:val="24"/>
          <w:szCs w:val="24"/>
        </w:rPr>
        <w:t xml:space="preserve">PUBLÍQUESE </w:t>
      </w:r>
      <w:r w:rsidR="00A3637C">
        <w:rPr>
          <w:b/>
          <w:sz w:val="24"/>
          <w:szCs w:val="24"/>
        </w:rPr>
        <w:t>Y CÚMPLASE.</w:t>
      </w:r>
    </w:p>
    <w:p w:rsidR="00A3637C" w:rsidRDefault="00A3637C" w:rsidP="00A3637C">
      <w:pPr>
        <w:jc w:val="both"/>
        <w:rPr>
          <w:sz w:val="24"/>
          <w:szCs w:val="24"/>
        </w:rPr>
      </w:pPr>
    </w:p>
    <w:p w:rsidR="00A3637C" w:rsidRPr="00E10540" w:rsidRDefault="00E10540" w:rsidP="00A3637C">
      <w:pPr>
        <w:jc w:val="both"/>
        <w:rPr>
          <w:sz w:val="24"/>
          <w:szCs w:val="24"/>
        </w:rPr>
      </w:pPr>
      <w:r>
        <w:rPr>
          <w:sz w:val="24"/>
          <w:szCs w:val="24"/>
        </w:rPr>
        <w:t xml:space="preserve">Dado en Bogotá, D.C., a los </w:t>
      </w:r>
    </w:p>
    <w:p w:rsidR="00A3637C" w:rsidRDefault="00A3637C" w:rsidP="00A3637C">
      <w:pPr>
        <w:jc w:val="both"/>
        <w:rPr>
          <w:b/>
          <w:sz w:val="24"/>
          <w:szCs w:val="24"/>
        </w:rPr>
      </w:pPr>
    </w:p>
    <w:p w:rsidR="000F3AE2" w:rsidRDefault="000F3AE2" w:rsidP="00A3637C">
      <w:pPr>
        <w:jc w:val="both"/>
        <w:rPr>
          <w:b/>
          <w:sz w:val="24"/>
          <w:szCs w:val="24"/>
        </w:rPr>
      </w:pPr>
    </w:p>
    <w:p w:rsidR="000F3AE2" w:rsidRPr="00C20CE4" w:rsidRDefault="000F3AE2" w:rsidP="000F3AE2">
      <w:pPr>
        <w:shd w:val="clear" w:color="auto" w:fill="FFFFFF"/>
        <w:ind w:left="-426" w:right="-426"/>
        <w:jc w:val="center"/>
        <w:rPr>
          <w:rFonts w:ascii="Arial" w:hAnsi="Arial" w:cs="Arial"/>
          <w:b/>
          <w:color w:val="000000"/>
          <w:sz w:val="22"/>
          <w:szCs w:val="22"/>
          <w:lang w:val="es-CO" w:eastAsia="es-CO"/>
        </w:rPr>
      </w:pPr>
      <w:r w:rsidRPr="00C20CE4">
        <w:rPr>
          <w:rFonts w:ascii="Arial" w:hAnsi="Arial" w:cs="Arial"/>
          <w:b/>
          <w:color w:val="000000"/>
          <w:sz w:val="22"/>
          <w:szCs w:val="22"/>
          <w:lang w:val="es-CO" w:eastAsia="es-CO"/>
        </w:rPr>
        <w:t>ENRIQUE PEÑALOSA LONDOÑO</w:t>
      </w:r>
    </w:p>
    <w:p w:rsidR="000F3AE2" w:rsidRPr="00C20CE4" w:rsidRDefault="000F3AE2" w:rsidP="000F3AE2">
      <w:pPr>
        <w:shd w:val="clear" w:color="auto" w:fill="FFFFFF"/>
        <w:ind w:left="-426" w:right="-426"/>
        <w:jc w:val="center"/>
        <w:rPr>
          <w:rFonts w:ascii="Arial" w:hAnsi="Arial" w:cs="Arial"/>
          <w:b/>
          <w:color w:val="000000"/>
          <w:sz w:val="22"/>
          <w:szCs w:val="22"/>
          <w:lang w:val="es-CO" w:eastAsia="es-CO"/>
        </w:rPr>
      </w:pPr>
      <w:r w:rsidRPr="00C20CE4">
        <w:rPr>
          <w:rFonts w:ascii="Arial" w:hAnsi="Arial" w:cs="Arial"/>
          <w:b/>
          <w:color w:val="000000"/>
          <w:sz w:val="22"/>
          <w:szCs w:val="22"/>
          <w:lang w:val="es-CO" w:eastAsia="es-CO"/>
        </w:rPr>
        <w:t> </w:t>
      </w:r>
      <w:r>
        <w:rPr>
          <w:rFonts w:ascii="Arial" w:hAnsi="Arial" w:cs="Arial"/>
          <w:b/>
          <w:color w:val="000000"/>
          <w:sz w:val="22"/>
          <w:szCs w:val="22"/>
          <w:lang w:val="es-CO" w:eastAsia="es-CO"/>
        </w:rPr>
        <w:t>Alcalde Mayor</w:t>
      </w:r>
    </w:p>
    <w:p w:rsidR="000F3AE2" w:rsidRPr="00C20CE4" w:rsidRDefault="000F3AE2" w:rsidP="000F3AE2">
      <w:pPr>
        <w:shd w:val="clear" w:color="auto" w:fill="FFFFFF"/>
        <w:ind w:left="-426" w:right="-426"/>
        <w:jc w:val="center"/>
        <w:rPr>
          <w:rFonts w:ascii="Arial" w:hAnsi="Arial" w:cs="Arial"/>
          <w:b/>
          <w:color w:val="000000"/>
          <w:sz w:val="22"/>
          <w:szCs w:val="22"/>
          <w:lang w:val="es-CO" w:eastAsia="es-CO"/>
        </w:rPr>
      </w:pPr>
    </w:p>
    <w:p w:rsidR="000F3AE2" w:rsidRPr="00C20CE4" w:rsidRDefault="000F3AE2" w:rsidP="000F3AE2">
      <w:pPr>
        <w:shd w:val="clear" w:color="auto" w:fill="FFFFFF"/>
        <w:ind w:left="-426" w:right="-426"/>
        <w:jc w:val="center"/>
        <w:rPr>
          <w:rFonts w:ascii="Arial" w:hAnsi="Arial" w:cs="Arial"/>
          <w:b/>
          <w:color w:val="000000"/>
          <w:sz w:val="22"/>
          <w:szCs w:val="22"/>
          <w:lang w:val="es-CO" w:eastAsia="es-CO"/>
        </w:rPr>
      </w:pPr>
    </w:p>
    <w:p w:rsidR="000F3AE2" w:rsidRPr="00C20CE4" w:rsidRDefault="000F3AE2" w:rsidP="000F3AE2">
      <w:pPr>
        <w:shd w:val="clear" w:color="auto" w:fill="FFFFFF"/>
        <w:ind w:left="-426" w:right="-426"/>
        <w:jc w:val="center"/>
        <w:rPr>
          <w:rFonts w:ascii="Arial" w:hAnsi="Arial" w:cs="Arial"/>
          <w:b/>
          <w:color w:val="000000"/>
          <w:sz w:val="22"/>
          <w:szCs w:val="22"/>
          <w:lang w:val="es-CO" w:eastAsia="es-CO"/>
        </w:rPr>
      </w:pPr>
      <w:r w:rsidRPr="00C20CE4">
        <w:rPr>
          <w:rFonts w:ascii="Arial" w:hAnsi="Arial" w:cs="Arial"/>
          <w:b/>
          <w:color w:val="000000"/>
          <w:sz w:val="22"/>
          <w:szCs w:val="22"/>
          <w:lang w:val="es-CO" w:eastAsia="es-CO"/>
        </w:rPr>
        <w:t> </w:t>
      </w:r>
    </w:p>
    <w:p w:rsidR="000F3AE2" w:rsidRPr="00C20CE4" w:rsidRDefault="000F3AE2" w:rsidP="000F3AE2">
      <w:pPr>
        <w:shd w:val="clear" w:color="auto" w:fill="FFFFFF"/>
        <w:ind w:left="-426" w:right="-426"/>
        <w:jc w:val="center"/>
        <w:rPr>
          <w:rFonts w:ascii="Arial" w:hAnsi="Arial" w:cs="Arial"/>
          <w:b/>
          <w:color w:val="000000"/>
          <w:sz w:val="22"/>
          <w:szCs w:val="22"/>
          <w:lang w:val="es-CO" w:eastAsia="es-CO"/>
        </w:rPr>
      </w:pPr>
      <w:r w:rsidRPr="00C20CE4">
        <w:rPr>
          <w:rFonts w:ascii="Arial" w:hAnsi="Arial" w:cs="Arial"/>
          <w:b/>
          <w:color w:val="000000"/>
          <w:sz w:val="22"/>
          <w:szCs w:val="22"/>
          <w:lang w:val="es-CO" w:eastAsia="es-CO"/>
        </w:rPr>
        <w:t>JUAN PABLO BOCAREJO SUESCÚN</w:t>
      </w:r>
    </w:p>
    <w:p w:rsidR="000F3AE2" w:rsidRPr="00C20CE4" w:rsidRDefault="000F3AE2" w:rsidP="000F3AE2">
      <w:pPr>
        <w:shd w:val="clear" w:color="auto" w:fill="FFFFFF"/>
        <w:ind w:left="-426" w:right="-426"/>
        <w:jc w:val="center"/>
        <w:rPr>
          <w:rFonts w:ascii="Arial" w:hAnsi="Arial" w:cs="Arial"/>
          <w:b/>
          <w:color w:val="000000"/>
          <w:sz w:val="22"/>
          <w:szCs w:val="22"/>
          <w:lang w:val="es-CO" w:eastAsia="es-CO"/>
        </w:rPr>
      </w:pPr>
      <w:r w:rsidRPr="00C20CE4">
        <w:rPr>
          <w:rFonts w:ascii="Arial" w:hAnsi="Arial" w:cs="Arial"/>
          <w:b/>
          <w:color w:val="000000"/>
          <w:sz w:val="22"/>
          <w:szCs w:val="22"/>
          <w:lang w:val="es-CO" w:eastAsia="es-CO"/>
        </w:rPr>
        <w:t>Secretario Distrital de Movilidad</w:t>
      </w:r>
    </w:p>
    <w:p w:rsidR="000F3AE2" w:rsidRDefault="000F3AE2" w:rsidP="000F3AE2">
      <w:pPr>
        <w:shd w:val="clear" w:color="auto" w:fill="FFFFFF"/>
        <w:ind w:left="-426" w:right="-426"/>
        <w:jc w:val="center"/>
        <w:rPr>
          <w:rFonts w:ascii="Arial" w:hAnsi="Arial" w:cs="Arial"/>
          <w:b/>
          <w:color w:val="000000"/>
          <w:sz w:val="22"/>
          <w:szCs w:val="22"/>
          <w:lang w:val="es-CO" w:eastAsia="es-CO"/>
        </w:rPr>
      </w:pPr>
    </w:p>
    <w:p w:rsidR="000F3AE2" w:rsidRPr="00C20CE4" w:rsidRDefault="000F3AE2" w:rsidP="000F3AE2">
      <w:pPr>
        <w:shd w:val="clear" w:color="auto" w:fill="FFFFFF"/>
        <w:ind w:left="-426" w:right="-426"/>
        <w:jc w:val="center"/>
        <w:rPr>
          <w:rFonts w:ascii="Arial" w:hAnsi="Arial" w:cs="Arial"/>
          <w:b/>
          <w:color w:val="000000"/>
          <w:sz w:val="22"/>
          <w:szCs w:val="22"/>
          <w:lang w:val="es-CO" w:eastAsia="es-CO"/>
        </w:rPr>
      </w:pPr>
    </w:p>
    <w:p w:rsidR="000F3AE2" w:rsidRPr="00C20CE4" w:rsidRDefault="000F3AE2" w:rsidP="000F3AE2">
      <w:pPr>
        <w:shd w:val="clear" w:color="auto" w:fill="FFFFFF"/>
        <w:ind w:right="-426"/>
        <w:rPr>
          <w:rFonts w:ascii="Arial" w:hAnsi="Arial" w:cs="Arial"/>
          <w:b/>
          <w:color w:val="000000"/>
          <w:sz w:val="22"/>
          <w:szCs w:val="22"/>
          <w:lang w:val="es-CO" w:eastAsia="es-CO"/>
        </w:rPr>
      </w:pPr>
    </w:p>
    <w:p w:rsidR="000F3AE2" w:rsidRPr="00C20CE4" w:rsidRDefault="000F3AE2" w:rsidP="000F3AE2">
      <w:pPr>
        <w:shd w:val="clear" w:color="auto" w:fill="FFFFFF"/>
        <w:ind w:left="-426" w:right="-426"/>
        <w:jc w:val="center"/>
        <w:rPr>
          <w:rFonts w:ascii="Arial" w:hAnsi="Arial" w:cs="Arial"/>
          <w:b/>
          <w:color w:val="000000"/>
          <w:sz w:val="22"/>
          <w:szCs w:val="22"/>
          <w:lang w:val="es-CO" w:eastAsia="es-CO"/>
        </w:rPr>
      </w:pPr>
      <w:r w:rsidRPr="00C20CE4">
        <w:rPr>
          <w:rFonts w:ascii="Arial" w:hAnsi="Arial" w:cs="Arial"/>
          <w:b/>
          <w:color w:val="000000"/>
          <w:sz w:val="22"/>
          <w:szCs w:val="22"/>
          <w:lang w:val="es-CO" w:eastAsia="es-CO"/>
        </w:rPr>
        <w:t>JUAN MIGUEL DURÁN</w:t>
      </w:r>
    </w:p>
    <w:p w:rsidR="000F3AE2" w:rsidRPr="00C20CE4" w:rsidRDefault="000F3AE2" w:rsidP="000F3AE2">
      <w:pPr>
        <w:shd w:val="clear" w:color="auto" w:fill="FFFFFF"/>
        <w:ind w:left="-426" w:right="-426"/>
        <w:jc w:val="center"/>
        <w:rPr>
          <w:rFonts w:ascii="Arial" w:hAnsi="Arial" w:cs="Arial"/>
          <w:b/>
          <w:color w:val="000000"/>
          <w:sz w:val="22"/>
          <w:szCs w:val="22"/>
          <w:lang w:val="es-CO" w:eastAsia="es-CO"/>
        </w:rPr>
      </w:pPr>
      <w:r w:rsidRPr="00C20CE4">
        <w:rPr>
          <w:rFonts w:ascii="Arial" w:hAnsi="Arial" w:cs="Arial"/>
          <w:b/>
          <w:color w:val="000000"/>
          <w:sz w:val="22"/>
          <w:szCs w:val="22"/>
          <w:lang w:val="es-CO" w:eastAsia="es-CO"/>
        </w:rPr>
        <w:t>S</w:t>
      </w:r>
      <w:r>
        <w:rPr>
          <w:rFonts w:ascii="Arial" w:hAnsi="Arial" w:cs="Arial"/>
          <w:b/>
          <w:color w:val="000000"/>
          <w:sz w:val="22"/>
          <w:szCs w:val="22"/>
          <w:lang w:val="es-CO" w:eastAsia="es-CO"/>
        </w:rPr>
        <w:t>ecretario Distrital de Gobierno</w:t>
      </w:r>
    </w:p>
    <w:p w:rsidR="000F3AE2" w:rsidRDefault="000F3AE2" w:rsidP="000F3AE2">
      <w:pPr>
        <w:shd w:val="clear" w:color="auto" w:fill="FFFFFF"/>
        <w:ind w:left="-426" w:right="-426"/>
        <w:jc w:val="center"/>
        <w:rPr>
          <w:rFonts w:ascii="Arial" w:hAnsi="Arial" w:cs="Arial"/>
          <w:b/>
          <w:color w:val="000000"/>
          <w:sz w:val="22"/>
          <w:szCs w:val="22"/>
          <w:lang w:val="es-CO" w:eastAsia="es-CO"/>
        </w:rPr>
      </w:pPr>
    </w:p>
    <w:p w:rsidR="000F3AE2" w:rsidRPr="00C20CE4" w:rsidRDefault="000F3AE2" w:rsidP="000F3AE2">
      <w:pPr>
        <w:shd w:val="clear" w:color="auto" w:fill="FFFFFF"/>
        <w:ind w:left="-426" w:right="-426"/>
        <w:jc w:val="center"/>
        <w:rPr>
          <w:rFonts w:ascii="Arial" w:hAnsi="Arial" w:cs="Arial"/>
          <w:b/>
          <w:color w:val="000000"/>
          <w:sz w:val="22"/>
          <w:szCs w:val="22"/>
          <w:lang w:val="es-CO" w:eastAsia="es-CO"/>
        </w:rPr>
      </w:pPr>
    </w:p>
    <w:p w:rsidR="00996772" w:rsidRPr="00C20CE4" w:rsidRDefault="00996772" w:rsidP="000F3AE2">
      <w:pPr>
        <w:shd w:val="clear" w:color="auto" w:fill="FFFFFF"/>
        <w:ind w:left="-426" w:right="-426"/>
        <w:jc w:val="center"/>
        <w:rPr>
          <w:rFonts w:ascii="Arial" w:hAnsi="Arial" w:cs="Arial"/>
          <w:b/>
          <w:color w:val="000000"/>
          <w:sz w:val="22"/>
          <w:szCs w:val="22"/>
          <w:lang w:val="es-CO" w:eastAsia="es-CO"/>
        </w:rPr>
      </w:pPr>
    </w:p>
    <w:p w:rsidR="000F3AE2" w:rsidRPr="00C20CE4" w:rsidRDefault="000F3AE2" w:rsidP="000F3AE2">
      <w:pPr>
        <w:shd w:val="clear" w:color="auto" w:fill="FFFFFF"/>
        <w:ind w:left="-426" w:right="-426"/>
        <w:jc w:val="center"/>
        <w:rPr>
          <w:rFonts w:ascii="Arial" w:hAnsi="Arial" w:cs="Arial"/>
          <w:b/>
          <w:color w:val="000000"/>
          <w:sz w:val="22"/>
          <w:szCs w:val="22"/>
          <w:lang w:val="es-CO" w:eastAsia="es-CO"/>
        </w:rPr>
      </w:pPr>
      <w:r w:rsidRPr="00C20CE4">
        <w:rPr>
          <w:rFonts w:ascii="Arial" w:hAnsi="Arial" w:cs="Arial"/>
          <w:b/>
          <w:color w:val="000000"/>
          <w:sz w:val="22"/>
          <w:szCs w:val="22"/>
          <w:lang w:val="es-CO" w:eastAsia="es-CO"/>
        </w:rPr>
        <w:t>ANDRÉS ORTIZ GÓMEZ</w:t>
      </w:r>
    </w:p>
    <w:p w:rsidR="000F3AE2" w:rsidRPr="00C20CE4" w:rsidRDefault="000F3AE2" w:rsidP="000F3AE2">
      <w:pPr>
        <w:shd w:val="clear" w:color="auto" w:fill="FFFFFF"/>
        <w:ind w:left="-426" w:right="-426"/>
        <w:jc w:val="center"/>
        <w:rPr>
          <w:rFonts w:ascii="Arial" w:hAnsi="Arial" w:cs="Arial"/>
          <w:b/>
          <w:color w:val="000000"/>
          <w:sz w:val="22"/>
          <w:szCs w:val="22"/>
          <w:lang w:val="es-CO" w:eastAsia="es-CO"/>
        </w:rPr>
      </w:pPr>
      <w:r w:rsidRPr="00C20CE4">
        <w:rPr>
          <w:rFonts w:ascii="Arial" w:hAnsi="Arial" w:cs="Arial"/>
          <w:b/>
          <w:color w:val="000000"/>
          <w:sz w:val="22"/>
          <w:szCs w:val="22"/>
          <w:lang w:val="es-CO" w:eastAsia="es-CO"/>
        </w:rPr>
        <w:t>Sec</w:t>
      </w:r>
      <w:r>
        <w:rPr>
          <w:rFonts w:ascii="Arial" w:hAnsi="Arial" w:cs="Arial"/>
          <w:b/>
          <w:color w:val="000000"/>
          <w:sz w:val="22"/>
          <w:szCs w:val="22"/>
          <w:lang w:val="es-CO" w:eastAsia="es-CO"/>
        </w:rPr>
        <w:t>retario Distrital de Planeación</w:t>
      </w:r>
    </w:p>
    <w:p w:rsidR="000F3AE2" w:rsidRDefault="000F3AE2" w:rsidP="000F3AE2">
      <w:pPr>
        <w:ind w:right="-426"/>
        <w:jc w:val="both"/>
        <w:rPr>
          <w:rFonts w:ascii="Arial" w:hAnsi="Arial" w:cs="Arial"/>
          <w:b/>
          <w:sz w:val="14"/>
          <w:szCs w:val="22"/>
          <w:lang w:val="es-CO"/>
        </w:rPr>
      </w:pPr>
    </w:p>
    <w:p w:rsidR="00996772" w:rsidRDefault="00996772" w:rsidP="000F3AE2">
      <w:pPr>
        <w:ind w:right="-426"/>
        <w:jc w:val="both"/>
        <w:rPr>
          <w:rFonts w:ascii="Arial" w:hAnsi="Arial" w:cs="Arial"/>
          <w:b/>
          <w:sz w:val="14"/>
          <w:szCs w:val="22"/>
          <w:lang w:val="es-CO"/>
        </w:rPr>
      </w:pPr>
    </w:p>
    <w:p w:rsidR="000F3AE2" w:rsidRPr="001F03FD" w:rsidRDefault="000F3AE2" w:rsidP="000F3AE2">
      <w:pPr>
        <w:ind w:left="284" w:right="-426" w:hanging="710"/>
        <w:jc w:val="both"/>
        <w:rPr>
          <w:rFonts w:ascii="Arial" w:hAnsi="Arial" w:cs="Arial"/>
          <w:sz w:val="14"/>
          <w:szCs w:val="22"/>
          <w:lang w:val="es-CO"/>
        </w:rPr>
      </w:pPr>
      <w:r w:rsidRPr="001F03FD">
        <w:rPr>
          <w:rFonts w:ascii="Arial" w:hAnsi="Arial" w:cs="Arial"/>
          <w:b/>
          <w:sz w:val="14"/>
          <w:szCs w:val="22"/>
          <w:lang w:val="es-CO"/>
        </w:rPr>
        <w:t>Aprobó:</w:t>
      </w:r>
      <w:r w:rsidRPr="001F03FD">
        <w:rPr>
          <w:rFonts w:ascii="Arial" w:hAnsi="Arial" w:cs="Arial"/>
          <w:sz w:val="14"/>
          <w:szCs w:val="22"/>
          <w:lang w:val="es-CO"/>
        </w:rPr>
        <w:t xml:space="preserve"> </w:t>
      </w:r>
      <w:r w:rsidRPr="001F03FD">
        <w:rPr>
          <w:rFonts w:ascii="Arial" w:hAnsi="Arial" w:cs="Arial"/>
          <w:sz w:val="14"/>
          <w:szCs w:val="22"/>
          <w:lang w:val="es-CO"/>
        </w:rPr>
        <w:tab/>
        <w:t xml:space="preserve">Sergio Eduardo Martínez Jaimes – Subsecretario de Política </w:t>
      </w:r>
      <w:r>
        <w:rPr>
          <w:rFonts w:ascii="Arial" w:hAnsi="Arial" w:cs="Arial"/>
          <w:sz w:val="14"/>
          <w:szCs w:val="22"/>
          <w:lang w:val="es-CO"/>
        </w:rPr>
        <w:t>de Movilidad</w:t>
      </w:r>
      <w:r w:rsidRPr="001F03FD">
        <w:rPr>
          <w:rFonts w:ascii="Arial" w:hAnsi="Arial" w:cs="Arial"/>
          <w:sz w:val="14"/>
          <w:szCs w:val="22"/>
          <w:lang w:val="es-CO"/>
        </w:rPr>
        <w:t xml:space="preserve"> - SDM</w:t>
      </w:r>
    </w:p>
    <w:p w:rsidR="000F3AE2" w:rsidRPr="001F03FD" w:rsidRDefault="000F3AE2" w:rsidP="000F3AE2">
      <w:pPr>
        <w:ind w:left="284" w:right="-426" w:hanging="710"/>
        <w:jc w:val="both"/>
        <w:rPr>
          <w:rFonts w:ascii="Arial" w:hAnsi="Arial" w:cs="Arial"/>
          <w:sz w:val="14"/>
          <w:szCs w:val="22"/>
          <w:lang w:val="es-CO"/>
        </w:rPr>
      </w:pPr>
      <w:r w:rsidRPr="001F03FD">
        <w:rPr>
          <w:rFonts w:ascii="Arial" w:hAnsi="Arial" w:cs="Arial"/>
          <w:sz w:val="14"/>
          <w:szCs w:val="22"/>
          <w:lang w:val="es-CO"/>
        </w:rPr>
        <w:t xml:space="preserve">                  Carolina Pombo Rivera – </w:t>
      </w:r>
      <w:r>
        <w:rPr>
          <w:rFonts w:ascii="Arial" w:hAnsi="Arial" w:cs="Arial"/>
          <w:sz w:val="14"/>
          <w:szCs w:val="22"/>
          <w:lang w:val="es-CO"/>
        </w:rPr>
        <w:t>Subsecretaria de Gestión Jurídica</w:t>
      </w:r>
      <w:r w:rsidRPr="001F03FD">
        <w:rPr>
          <w:rFonts w:ascii="Arial" w:hAnsi="Arial" w:cs="Arial"/>
          <w:sz w:val="14"/>
          <w:szCs w:val="22"/>
          <w:lang w:val="es-CO"/>
        </w:rPr>
        <w:t xml:space="preserve"> – SDM</w:t>
      </w:r>
    </w:p>
    <w:p w:rsidR="000F3AE2" w:rsidRPr="001F03FD" w:rsidRDefault="000F3AE2" w:rsidP="000F3AE2">
      <w:pPr>
        <w:ind w:left="284" w:right="-426" w:hanging="710"/>
        <w:jc w:val="both"/>
        <w:rPr>
          <w:rFonts w:ascii="Arial" w:hAnsi="Arial" w:cs="Arial"/>
          <w:sz w:val="14"/>
          <w:szCs w:val="22"/>
          <w:shd w:val="clear" w:color="auto" w:fill="FFFFFF"/>
          <w:lang w:val="es-CO"/>
        </w:rPr>
      </w:pPr>
      <w:r w:rsidRPr="001F03FD">
        <w:rPr>
          <w:rFonts w:ascii="Arial" w:hAnsi="Arial" w:cs="Arial"/>
          <w:b/>
          <w:sz w:val="14"/>
          <w:szCs w:val="22"/>
          <w:shd w:val="clear" w:color="auto" w:fill="FFFFFF"/>
          <w:lang w:val="es-CO"/>
        </w:rPr>
        <w:t>Revisó:</w:t>
      </w:r>
      <w:r w:rsidRPr="001F03FD">
        <w:rPr>
          <w:rFonts w:ascii="Arial" w:hAnsi="Arial" w:cs="Arial"/>
          <w:sz w:val="14"/>
          <w:szCs w:val="22"/>
          <w:shd w:val="clear" w:color="auto" w:fill="FFFFFF"/>
          <w:lang w:val="es-CO"/>
        </w:rPr>
        <w:t xml:space="preserve"> </w:t>
      </w:r>
      <w:r w:rsidRPr="001F03FD">
        <w:rPr>
          <w:rFonts w:ascii="Arial" w:hAnsi="Arial" w:cs="Arial"/>
          <w:sz w:val="14"/>
          <w:szCs w:val="22"/>
          <w:shd w:val="clear" w:color="auto" w:fill="FFFFFF"/>
          <w:lang w:val="es-CO"/>
        </w:rPr>
        <w:tab/>
        <w:t xml:space="preserve">María Carolina Lecompte Plata – Directora de </w:t>
      </w:r>
      <w:r>
        <w:rPr>
          <w:rFonts w:ascii="Arial" w:hAnsi="Arial" w:cs="Arial"/>
          <w:sz w:val="14"/>
          <w:szCs w:val="22"/>
          <w:shd w:val="clear" w:color="auto" w:fill="FFFFFF"/>
          <w:lang w:val="es-CO"/>
        </w:rPr>
        <w:t>Inteligencia para la Movilidad</w:t>
      </w:r>
      <w:r w:rsidRPr="001F03FD">
        <w:rPr>
          <w:rFonts w:ascii="Arial" w:hAnsi="Arial" w:cs="Arial"/>
          <w:sz w:val="14"/>
          <w:szCs w:val="22"/>
          <w:shd w:val="clear" w:color="auto" w:fill="FFFFFF"/>
          <w:lang w:val="es-CO"/>
        </w:rPr>
        <w:t xml:space="preserve"> - SDM</w:t>
      </w:r>
    </w:p>
    <w:p w:rsidR="000F3AE2" w:rsidRDefault="000F3AE2" w:rsidP="000F3AE2">
      <w:pPr>
        <w:ind w:left="284" w:right="-426" w:hanging="710"/>
        <w:jc w:val="both"/>
        <w:rPr>
          <w:rFonts w:ascii="Arial" w:hAnsi="Arial" w:cs="Arial"/>
          <w:sz w:val="14"/>
          <w:szCs w:val="22"/>
          <w:shd w:val="clear" w:color="auto" w:fill="FFFFFF"/>
          <w:lang w:val="es-CO"/>
        </w:rPr>
      </w:pPr>
      <w:r w:rsidRPr="001F03FD">
        <w:rPr>
          <w:rFonts w:ascii="Arial" w:hAnsi="Arial" w:cs="Arial"/>
          <w:sz w:val="14"/>
          <w:szCs w:val="22"/>
          <w:shd w:val="clear" w:color="auto" w:fill="FFFFFF"/>
          <w:lang w:val="es-CO"/>
        </w:rPr>
        <w:tab/>
      </w:r>
      <w:r>
        <w:rPr>
          <w:rFonts w:ascii="Arial" w:hAnsi="Arial" w:cs="Arial"/>
          <w:sz w:val="14"/>
          <w:szCs w:val="22"/>
          <w:shd w:val="clear" w:color="auto" w:fill="FFFFFF"/>
          <w:lang w:val="es-CO"/>
        </w:rPr>
        <w:t>Paulo Rincón Garay – Dire</w:t>
      </w:r>
      <w:r w:rsidR="00F65DF1">
        <w:rPr>
          <w:rFonts w:ascii="Arial" w:hAnsi="Arial" w:cs="Arial"/>
          <w:sz w:val="14"/>
          <w:szCs w:val="22"/>
          <w:shd w:val="clear" w:color="auto" w:fill="FFFFFF"/>
          <w:lang w:val="es-CO"/>
        </w:rPr>
        <w:t>ctor de Normatividad y Concepto</w:t>
      </w:r>
      <w:r>
        <w:rPr>
          <w:rFonts w:ascii="Arial" w:hAnsi="Arial" w:cs="Arial"/>
          <w:sz w:val="14"/>
          <w:szCs w:val="22"/>
          <w:shd w:val="clear" w:color="auto" w:fill="FFFFFF"/>
          <w:lang w:val="es-CO"/>
        </w:rPr>
        <w:t xml:space="preserve"> - SDM</w:t>
      </w:r>
    </w:p>
    <w:p w:rsidR="000F3AE2" w:rsidRDefault="000F3AE2" w:rsidP="000F3AE2">
      <w:pPr>
        <w:ind w:left="284" w:right="-426" w:hanging="710"/>
        <w:jc w:val="both"/>
        <w:rPr>
          <w:rFonts w:ascii="Arial" w:hAnsi="Arial" w:cs="Arial"/>
          <w:sz w:val="14"/>
          <w:szCs w:val="22"/>
          <w:shd w:val="clear" w:color="auto" w:fill="FFFFFF"/>
          <w:lang w:val="es-CO"/>
        </w:rPr>
      </w:pPr>
      <w:r>
        <w:rPr>
          <w:rFonts w:ascii="Arial" w:hAnsi="Arial" w:cs="Arial"/>
          <w:sz w:val="14"/>
          <w:szCs w:val="22"/>
          <w:shd w:val="clear" w:color="auto" w:fill="FFFFFF"/>
          <w:lang w:val="es-CO"/>
        </w:rPr>
        <w:t xml:space="preserve">                  Felipe Alberto Morales Sánchez – Subsecretaría de </w:t>
      </w:r>
      <w:r w:rsidRPr="001F03FD">
        <w:rPr>
          <w:rFonts w:ascii="Arial" w:hAnsi="Arial" w:cs="Arial"/>
          <w:sz w:val="14"/>
          <w:szCs w:val="22"/>
          <w:lang w:val="es-CO"/>
        </w:rPr>
        <w:t xml:space="preserve">Política </w:t>
      </w:r>
      <w:r>
        <w:rPr>
          <w:rFonts w:ascii="Arial" w:hAnsi="Arial" w:cs="Arial"/>
          <w:sz w:val="14"/>
          <w:szCs w:val="22"/>
          <w:lang w:val="es-CO"/>
        </w:rPr>
        <w:t>de Movilidad</w:t>
      </w:r>
      <w:r w:rsidRPr="001F03FD">
        <w:rPr>
          <w:rFonts w:ascii="Arial" w:hAnsi="Arial" w:cs="Arial"/>
          <w:sz w:val="14"/>
          <w:szCs w:val="22"/>
          <w:lang w:val="es-CO"/>
        </w:rPr>
        <w:t xml:space="preserve"> </w:t>
      </w:r>
      <w:r>
        <w:rPr>
          <w:rFonts w:ascii="Arial" w:hAnsi="Arial" w:cs="Arial"/>
          <w:sz w:val="14"/>
          <w:szCs w:val="22"/>
          <w:shd w:val="clear" w:color="auto" w:fill="FFFFFF"/>
          <w:lang w:val="es-CO"/>
        </w:rPr>
        <w:t>– SDM</w:t>
      </w:r>
    </w:p>
    <w:p w:rsidR="000F3AE2" w:rsidRPr="001F03FD" w:rsidRDefault="000F3AE2" w:rsidP="000F3AE2">
      <w:pPr>
        <w:ind w:left="284" w:right="-426" w:hanging="710"/>
        <w:jc w:val="both"/>
        <w:rPr>
          <w:rFonts w:ascii="Arial" w:hAnsi="Arial" w:cs="Arial"/>
          <w:sz w:val="14"/>
          <w:szCs w:val="22"/>
          <w:shd w:val="clear" w:color="auto" w:fill="FFFFFF"/>
          <w:lang w:val="es-CO"/>
        </w:rPr>
      </w:pPr>
      <w:r>
        <w:rPr>
          <w:rFonts w:ascii="Arial" w:hAnsi="Arial" w:cs="Arial"/>
          <w:sz w:val="14"/>
          <w:szCs w:val="22"/>
          <w:shd w:val="clear" w:color="auto" w:fill="FFFFFF"/>
          <w:lang w:val="es-CO"/>
        </w:rPr>
        <w:t xml:space="preserve">                  Alan Anaya Ospino – Abogado Dirección de Normatividad y Conceptos - SDM</w:t>
      </w:r>
    </w:p>
    <w:p w:rsidR="000F3AE2" w:rsidRPr="001F03FD" w:rsidRDefault="000F3AE2" w:rsidP="000F3AE2">
      <w:pPr>
        <w:ind w:left="284" w:right="-426" w:hanging="710"/>
        <w:jc w:val="both"/>
        <w:rPr>
          <w:rFonts w:ascii="Arial" w:hAnsi="Arial" w:cs="Arial"/>
          <w:sz w:val="14"/>
          <w:szCs w:val="22"/>
          <w:shd w:val="clear" w:color="auto" w:fill="FFFFFF"/>
          <w:lang w:val="es-CO"/>
        </w:rPr>
      </w:pPr>
      <w:r w:rsidRPr="001F03FD">
        <w:rPr>
          <w:rFonts w:ascii="Arial" w:hAnsi="Arial" w:cs="Arial"/>
          <w:b/>
          <w:sz w:val="14"/>
          <w:szCs w:val="22"/>
          <w:shd w:val="clear" w:color="auto" w:fill="FFFFFF"/>
          <w:lang w:val="es-CO"/>
        </w:rPr>
        <w:t>Proyectó:</w:t>
      </w:r>
      <w:r w:rsidRPr="001F03FD">
        <w:rPr>
          <w:rFonts w:ascii="Arial" w:hAnsi="Arial" w:cs="Arial"/>
          <w:sz w:val="14"/>
          <w:szCs w:val="22"/>
          <w:shd w:val="clear" w:color="auto" w:fill="FFFFFF"/>
          <w:lang w:val="es-CO"/>
        </w:rPr>
        <w:t xml:space="preserve">  Kelly Acuña Mantilla – </w:t>
      </w:r>
      <w:r>
        <w:rPr>
          <w:rFonts w:ascii="Arial" w:hAnsi="Arial" w:cs="Arial"/>
          <w:sz w:val="14"/>
          <w:szCs w:val="22"/>
          <w:shd w:val="clear" w:color="auto" w:fill="FFFFFF"/>
          <w:lang w:val="es-CO"/>
        </w:rPr>
        <w:t>Dirección</w:t>
      </w:r>
      <w:r w:rsidRPr="001F03FD">
        <w:rPr>
          <w:rFonts w:ascii="Arial" w:hAnsi="Arial" w:cs="Arial"/>
          <w:sz w:val="14"/>
          <w:szCs w:val="22"/>
          <w:shd w:val="clear" w:color="auto" w:fill="FFFFFF"/>
          <w:lang w:val="es-CO"/>
        </w:rPr>
        <w:t xml:space="preserve"> de </w:t>
      </w:r>
      <w:r>
        <w:rPr>
          <w:rFonts w:ascii="Arial" w:hAnsi="Arial" w:cs="Arial"/>
          <w:sz w:val="14"/>
          <w:szCs w:val="22"/>
          <w:shd w:val="clear" w:color="auto" w:fill="FFFFFF"/>
          <w:lang w:val="es-CO"/>
        </w:rPr>
        <w:t>Inteligencia para la Movilidad</w:t>
      </w:r>
      <w:r w:rsidRPr="001F03FD">
        <w:rPr>
          <w:rFonts w:ascii="Arial" w:hAnsi="Arial" w:cs="Arial"/>
          <w:sz w:val="14"/>
          <w:szCs w:val="22"/>
          <w:shd w:val="clear" w:color="auto" w:fill="FFFFFF"/>
          <w:lang w:val="es-CO"/>
        </w:rPr>
        <w:t xml:space="preserve"> - SDM</w:t>
      </w:r>
    </w:p>
    <w:p w:rsidR="000F3AE2" w:rsidRPr="001F03FD" w:rsidRDefault="000F3AE2" w:rsidP="000F3AE2">
      <w:pPr>
        <w:ind w:left="284" w:right="-426" w:hanging="710"/>
        <w:jc w:val="both"/>
        <w:rPr>
          <w:rFonts w:ascii="Arial" w:hAnsi="Arial" w:cs="Arial"/>
          <w:sz w:val="14"/>
          <w:szCs w:val="22"/>
          <w:shd w:val="clear" w:color="auto" w:fill="FFFFFF"/>
          <w:lang w:val="es-CO"/>
        </w:rPr>
      </w:pPr>
      <w:r w:rsidRPr="001F03FD">
        <w:rPr>
          <w:rFonts w:ascii="Arial" w:hAnsi="Arial" w:cs="Arial"/>
          <w:sz w:val="14"/>
          <w:szCs w:val="22"/>
          <w:shd w:val="clear" w:color="auto" w:fill="FFFFFF"/>
          <w:lang w:val="es-CO"/>
        </w:rPr>
        <w:tab/>
        <w:t xml:space="preserve">Germán Rodríguez Valbuena – </w:t>
      </w:r>
      <w:r>
        <w:rPr>
          <w:rFonts w:ascii="Arial" w:hAnsi="Arial" w:cs="Arial"/>
          <w:sz w:val="14"/>
          <w:szCs w:val="22"/>
          <w:shd w:val="clear" w:color="auto" w:fill="FFFFFF"/>
          <w:lang w:val="es-CO"/>
        </w:rPr>
        <w:t>Dirección</w:t>
      </w:r>
      <w:r w:rsidRPr="001F03FD">
        <w:rPr>
          <w:rFonts w:ascii="Arial" w:hAnsi="Arial" w:cs="Arial"/>
          <w:sz w:val="14"/>
          <w:szCs w:val="22"/>
          <w:shd w:val="clear" w:color="auto" w:fill="FFFFFF"/>
          <w:lang w:val="es-CO"/>
        </w:rPr>
        <w:t xml:space="preserve"> de </w:t>
      </w:r>
      <w:r>
        <w:rPr>
          <w:rFonts w:ascii="Arial" w:hAnsi="Arial" w:cs="Arial"/>
          <w:sz w:val="14"/>
          <w:szCs w:val="22"/>
          <w:shd w:val="clear" w:color="auto" w:fill="FFFFFF"/>
          <w:lang w:val="es-CO"/>
        </w:rPr>
        <w:t>Inteligencia para la Movilidad</w:t>
      </w:r>
      <w:r w:rsidRPr="001F03FD">
        <w:rPr>
          <w:rFonts w:ascii="Arial" w:hAnsi="Arial" w:cs="Arial"/>
          <w:sz w:val="14"/>
          <w:szCs w:val="22"/>
          <w:shd w:val="clear" w:color="auto" w:fill="FFFFFF"/>
          <w:lang w:val="es-CO"/>
        </w:rPr>
        <w:t xml:space="preserve"> - SDM</w:t>
      </w:r>
    </w:p>
    <w:p w:rsidR="00A3637C" w:rsidRPr="000F3AE2" w:rsidRDefault="00A3637C" w:rsidP="000F3AE2">
      <w:pPr>
        <w:jc w:val="center"/>
        <w:rPr>
          <w:lang w:val="es-CO"/>
        </w:rPr>
      </w:pPr>
    </w:p>
    <w:sectPr w:rsidR="00A3637C" w:rsidRPr="000F3AE2" w:rsidSect="00A3637C">
      <w:headerReference w:type="default" r:id="rId8"/>
      <w:footerReference w:type="default" r:id="rId9"/>
      <w:headerReference w:type="first" r:id="rId10"/>
      <w:footerReference w:type="first" r:id="rId11"/>
      <w:pgSz w:w="12240" w:h="15840"/>
      <w:pgMar w:top="3505" w:right="1701" w:bottom="1418" w:left="1701" w:header="709"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CB7" w:rsidRDefault="002E2CB7" w:rsidP="00A3637C">
      <w:r>
        <w:separator/>
      </w:r>
    </w:p>
  </w:endnote>
  <w:endnote w:type="continuationSeparator" w:id="0">
    <w:p w:rsidR="002E2CB7" w:rsidRDefault="002E2CB7" w:rsidP="00A3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7C" w:rsidRDefault="00546AE6" w:rsidP="00A3637C">
    <w:r w:rsidRPr="00A3738C">
      <w:rPr>
        <w:noProof/>
        <w:lang w:val="es-CO" w:eastAsia="es-CO"/>
      </w:rPr>
      <w:drawing>
        <wp:inline distT="0" distB="0" distL="0" distR="0">
          <wp:extent cx="1223010" cy="818515"/>
          <wp:effectExtent l="0" t="0" r="0" b="0"/>
          <wp:docPr id="3"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818515"/>
                  </a:xfrm>
                  <a:prstGeom prst="rect">
                    <a:avLst/>
                  </a:prstGeom>
                  <a:noFill/>
                  <a:ln>
                    <a:noFill/>
                  </a:ln>
                </pic:spPr>
              </pic:pic>
            </a:graphicData>
          </a:graphic>
        </wp:inline>
      </w:drawing>
    </w:r>
    <w:r w:rsidR="00A3637C">
      <w:t xml:space="preserve">                                                                                                         </w:t>
    </w:r>
    <w:r w:rsidRPr="00A3738C">
      <w:rPr>
        <w:noProof/>
        <w:lang w:val="es-CO" w:eastAsia="es-CO"/>
      </w:rPr>
      <w:drawing>
        <wp:inline distT="0" distB="0" distL="0" distR="0">
          <wp:extent cx="1052830" cy="723265"/>
          <wp:effectExtent l="0" t="0" r="0" b="0"/>
          <wp:docPr id="4"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830" cy="723265"/>
                  </a:xfrm>
                  <a:prstGeom prst="rect">
                    <a:avLst/>
                  </a:prstGeom>
                  <a:noFill/>
                  <a:ln>
                    <a:noFill/>
                  </a:ln>
                </pic:spPr>
              </pic:pic>
            </a:graphicData>
          </a:graphic>
        </wp:inline>
      </w:drawing>
    </w:r>
  </w:p>
  <w:p w:rsidR="00A3637C" w:rsidRDefault="00A3637C" w:rsidP="00A3637C">
    <w:pPr>
      <w:pStyle w:val="Piedepgina"/>
      <w:ind w:left="720"/>
      <w:jc w:val="center"/>
      <w:rPr>
        <w:rFonts w:ascii="Arial" w:hAnsi="Arial" w:cs="Arial"/>
        <w:sz w:val="16"/>
        <w:szCs w:val="16"/>
      </w:rPr>
    </w:pPr>
  </w:p>
  <w:p w:rsidR="00A3637C" w:rsidRDefault="00A3637C" w:rsidP="00A3637C">
    <w:pPr>
      <w:pStyle w:val="Piedepgina"/>
      <w:rPr>
        <w:rFonts w:ascii="Arial" w:hAnsi="Arial" w:cs="Arial"/>
        <w:sz w:val="16"/>
        <w:szCs w:val="16"/>
      </w:rPr>
    </w:pPr>
    <w:r>
      <w:rPr>
        <w:rFonts w:ascii="Arial" w:hAnsi="Arial" w:cs="Arial"/>
        <w:sz w:val="16"/>
        <w:szCs w:val="16"/>
      </w:rPr>
      <w:t xml:space="preserve">                                                                                      </w:t>
    </w:r>
    <w:r w:rsidRPr="0095257A">
      <w:rPr>
        <w:rFonts w:ascii="Arial" w:hAnsi="Arial" w:cs="Arial"/>
        <w:sz w:val="16"/>
        <w:szCs w:val="16"/>
      </w:rPr>
      <w:t>23</w:t>
    </w:r>
    <w:r>
      <w:rPr>
        <w:rFonts w:ascii="Arial" w:hAnsi="Arial" w:cs="Arial"/>
        <w:sz w:val="16"/>
        <w:szCs w:val="16"/>
      </w:rPr>
      <w:t xml:space="preserve">10460-FT-078 </w:t>
    </w:r>
    <w:r w:rsidRPr="0095257A">
      <w:rPr>
        <w:rFonts w:ascii="Arial" w:hAnsi="Arial" w:cs="Arial"/>
        <w:sz w:val="16"/>
        <w:szCs w:val="16"/>
      </w:rPr>
      <w:t>Versión 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7C" w:rsidRDefault="00546AE6" w:rsidP="00A3637C">
    <w:r w:rsidRPr="00A3738C">
      <w:rPr>
        <w:noProof/>
        <w:lang w:val="es-CO" w:eastAsia="es-CO"/>
      </w:rPr>
      <w:drawing>
        <wp:inline distT="0" distB="0" distL="0" distR="0">
          <wp:extent cx="1223010" cy="818515"/>
          <wp:effectExtent l="0" t="0" r="0" b="0"/>
          <wp:docPr id="1"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818515"/>
                  </a:xfrm>
                  <a:prstGeom prst="rect">
                    <a:avLst/>
                  </a:prstGeom>
                  <a:noFill/>
                  <a:ln>
                    <a:noFill/>
                  </a:ln>
                </pic:spPr>
              </pic:pic>
            </a:graphicData>
          </a:graphic>
        </wp:inline>
      </w:drawing>
    </w:r>
    <w:r w:rsidR="00A3637C">
      <w:t xml:space="preserve">                                                                                                         </w:t>
    </w:r>
    <w:r w:rsidRPr="00A3738C">
      <w:rPr>
        <w:noProof/>
        <w:lang w:val="es-CO" w:eastAsia="es-CO"/>
      </w:rPr>
      <w:drawing>
        <wp:inline distT="0" distB="0" distL="0" distR="0">
          <wp:extent cx="1052830" cy="723265"/>
          <wp:effectExtent l="0" t="0" r="0" b="0"/>
          <wp:docPr id="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830" cy="723265"/>
                  </a:xfrm>
                  <a:prstGeom prst="rect">
                    <a:avLst/>
                  </a:prstGeom>
                  <a:noFill/>
                  <a:ln>
                    <a:noFill/>
                  </a:ln>
                </pic:spPr>
              </pic:pic>
            </a:graphicData>
          </a:graphic>
        </wp:inline>
      </w:drawing>
    </w:r>
  </w:p>
  <w:p w:rsidR="00A3637C" w:rsidRDefault="00A3637C" w:rsidP="00A3637C">
    <w:pPr>
      <w:pStyle w:val="Piedepgina"/>
      <w:ind w:left="720"/>
      <w:jc w:val="center"/>
      <w:rPr>
        <w:rFonts w:ascii="Arial" w:hAnsi="Arial" w:cs="Arial"/>
        <w:sz w:val="16"/>
        <w:szCs w:val="16"/>
      </w:rPr>
    </w:pPr>
  </w:p>
  <w:p w:rsidR="00A3637C" w:rsidRDefault="00A3637C" w:rsidP="00A3637C">
    <w:pPr>
      <w:pStyle w:val="Piedepgina"/>
      <w:rPr>
        <w:rFonts w:ascii="Arial" w:hAnsi="Arial" w:cs="Arial"/>
        <w:sz w:val="16"/>
        <w:szCs w:val="16"/>
      </w:rPr>
    </w:pPr>
    <w:r>
      <w:rPr>
        <w:rFonts w:ascii="Arial" w:hAnsi="Arial" w:cs="Arial"/>
        <w:sz w:val="16"/>
        <w:szCs w:val="16"/>
      </w:rPr>
      <w:t xml:space="preserve">                                                                                      </w:t>
    </w:r>
    <w:r w:rsidRPr="0095257A">
      <w:rPr>
        <w:rFonts w:ascii="Arial" w:hAnsi="Arial" w:cs="Arial"/>
        <w:sz w:val="16"/>
        <w:szCs w:val="16"/>
      </w:rPr>
      <w:t>23</w:t>
    </w:r>
    <w:r>
      <w:rPr>
        <w:rFonts w:ascii="Arial" w:hAnsi="Arial" w:cs="Arial"/>
        <w:sz w:val="16"/>
        <w:szCs w:val="16"/>
      </w:rPr>
      <w:t xml:space="preserve">10460-FT-078 </w:t>
    </w:r>
    <w:r w:rsidRPr="0095257A">
      <w:rPr>
        <w:rFonts w:ascii="Arial" w:hAnsi="Arial" w:cs="Arial"/>
        <w:sz w:val="16"/>
        <w:szCs w:val="16"/>
      </w:rPr>
      <w:t>Versión 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CB7" w:rsidRDefault="002E2CB7" w:rsidP="00A3637C">
      <w:r>
        <w:separator/>
      </w:r>
    </w:p>
  </w:footnote>
  <w:footnote w:type="continuationSeparator" w:id="0">
    <w:p w:rsidR="002E2CB7" w:rsidRDefault="002E2CB7" w:rsidP="00A36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7C" w:rsidRDefault="00546AE6" w:rsidP="00A3637C">
    <w:pPr>
      <w:pStyle w:val="Encabezado"/>
      <w:jc w:val="center"/>
      <w:rPr>
        <w:b/>
        <w:bCs/>
        <w:sz w:val="12"/>
        <w:szCs w:val="12"/>
      </w:rPr>
    </w:pPr>
    <w:r>
      <w:rPr>
        <w:noProof/>
        <w:lang w:val="es-CO" w:eastAsia="es-CO"/>
      </w:rPr>
      <w:drawing>
        <wp:anchor distT="0" distB="0" distL="114935" distR="114935" simplePos="0" relativeHeight="251658240" behindDoc="0" locked="0" layoutInCell="1" allowOverlap="1">
          <wp:simplePos x="0" y="0"/>
          <wp:positionH relativeFrom="margin">
            <wp:align>center</wp:align>
          </wp:positionH>
          <wp:positionV relativeFrom="paragraph">
            <wp:posOffset>26035</wp:posOffset>
          </wp:positionV>
          <wp:extent cx="468630" cy="548005"/>
          <wp:effectExtent l="0" t="0" r="0" b="0"/>
          <wp:wrapNone/>
          <wp:docPr id="6"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5480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Pr="003A3F1B" w:rsidRDefault="00A3637C" w:rsidP="00A3637C">
    <w:pPr>
      <w:pStyle w:val="Encabezado"/>
      <w:jc w:val="center"/>
      <w:rPr>
        <w:b/>
        <w:bCs/>
        <w:sz w:val="12"/>
        <w:szCs w:val="12"/>
      </w:rPr>
    </w:pPr>
    <w:r w:rsidRPr="003A3F1B">
      <w:rPr>
        <w:b/>
        <w:bCs/>
        <w:sz w:val="12"/>
        <w:szCs w:val="12"/>
      </w:rPr>
      <w:t>ALCALDÍA MAYOR</w:t>
    </w:r>
  </w:p>
  <w:p w:rsidR="00A3637C" w:rsidRDefault="00A3637C" w:rsidP="00A3637C">
    <w:pPr>
      <w:pStyle w:val="Encabezado"/>
      <w:jc w:val="center"/>
      <w:rPr>
        <w:szCs w:val="16"/>
      </w:rPr>
    </w:pPr>
    <w:r w:rsidRPr="003A3F1B">
      <w:rPr>
        <w:b/>
        <w:bCs/>
        <w:sz w:val="12"/>
        <w:szCs w:val="12"/>
      </w:rPr>
      <w:t>DE BOGOTÀ, D.C</w:t>
    </w:r>
    <w:r>
      <w:rPr>
        <w:rFonts w:ascii="Arial" w:hAnsi="Arial" w:cs="Arial"/>
        <w:b/>
        <w:bCs/>
        <w:sz w:val="12"/>
        <w:szCs w:val="12"/>
      </w:rPr>
      <w:t>.</w:t>
    </w:r>
  </w:p>
  <w:p w:rsidR="00A3637C" w:rsidRDefault="00A3637C" w:rsidP="00A3637C">
    <w:pPr>
      <w:pStyle w:val="Encabezado"/>
      <w:jc w:val="center"/>
      <w:rPr>
        <w:b/>
        <w:bCs/>
        <w:sz w:val="12"/>
        <w:szCs w:val="12"/>
      </w:rPr>
    </w:pPr>
  </w:p>
  <w:p w:rsidR="00A3637C" w:rsidRDefault="00A3637C" w:rsidP="00A3637C">
    <w:pPr>
      <w:jc w:val="both"/>
      <w:rPr>
        <w:b/>
        <w:sz w:val="24"/>
      </w:rPr>
    </w:pPr>
  </w:p>
  <w:p w:rsidR="00A3637C" w:rsidRDefault="00A3637C" w:rsidP="00A3637C">
    <w:pPr>
      <w:jc w:val="both"/>
      <w:rPr>
        <w:b/>
        <w:sz w:val="24"/>
      </w:rPr>
    </w:pPr>
  </w:p>
  <w:p w:rsidR="00A3637C" w:rsidRDefault="00A3637C" w:rsidP="00A3637C">
    <w:pPr>
      <w:jc w:val="both"/>
      <w:rPr>
        <w:rFonts w:ascii="Arial" w:hAnsi="Arial" w:cs="Arial"/>
        <w:b/>
        <w:sz w:val="24"/>
        <w:szCs w:val="24"/>
      </w:rPr>
    </w:pPr>
    <w:r>
      <w:rPr>
        <w:b/>
        <w:sz w:val="24"/>
      </w:rPr>
      <w:t xml:space="preserve">Continuación del Decreto N°. ______________ DE _____________     </w:t>
    </w:r>
    <w:r>
      <w:rPr>
        <w:b/>
        <w:sz w:val="24"/>
      </w:rPr>
      <w:tab/>
      <w:t xml:space="preserve">       </w:t>
    </w:r>
    <w:r>
      <w:rPr>
        <w:b/>
        <w:sz w:val="22"/>
        <w:szCs w:val="22"/>
      </w:rPr>
      <w:t xml:space="preserve">Pág. </w:t>
    </w:r>
    <w:r>
      <w:rPr>
        <w:rFonts w:cs="Arial"/>
        <w:b/>
        <w:sz w:val="22"/>
        <w:szCs w:val="22"/>
      </w:rPr>
      <w:fldChar w:fldCharType="begin"/>
    </w:r>
    <w:r>
      <w:rPr>
        <w:rFonts w:cs="Arial"/>
        <w:b/>
        <w:sz w:val="22"/>
        <w:szCs w:val="22"/>
      </w:rPr>
      <w:instrText xml:space="preserve"> PAGE </w:instrText>
    </w:r>
    <w:r>
      <w:rPr>
        <w:rFonts w:cs="Arial"/>
        <w:b/>
        <w:sz w:val="22"/>
        <w:szCs w:val="22"/>
      </w:rPr>
      <w:fldChar w:fldCharType="separate"/>
    </w:r>
    <w:r w:rsidR="00BF5A07">
      <w:rPr>
        <w:rFonts w:cs="Arial"/>
        <w:b/>
        <w:noProof/>
        <w:sz w:val="22"/>
        <w:szCs w:val="22"/>
      </w:rPr>
      <w:t>2</w:t>
    </w:r>
    <w:r>
      <w:rPr>
        <w:rFonts w:cs="Arial"/>
        <w:b/>
        <w:sz w:val="22"/>
        <w:szCs w:val="22"/>
      </w:rPr>
      <w:fldChar w:fldCharType="end"/>
    </w:r>
    <w:r>
      <w:rPr>
        <w:rFonts w:ascii="Arial" w:hAnsi="Arial" w:cs="Arial"/>
        <w:b/>
        <w:sz w:val="22"/>
        <w:szCs w:val="22"/>
      </w:rPr>
      <w:t xml:space="preserve"> de </w:t>
    </w:r>
    <w:r>
      <w:rPr>
        <w:rFonts w:cs="Arial"/>
        <w:b/>
        <w:sz w:val="22"/>
        <w:szCs w:val="22"/>
      </w:rPr>
      <w:fldChar w:fldCharType="begin"/>
    </w:r>
    <w:r>
      <w:rPr>
        <w:rFonts w:cs="Arial"/>
        <w:b/>
        <w:sz w:val="22"/>
        <w:szCs w:val="22"/>
      </w:rPr>
      <w:instrText xml:space="preserve"> NUMPAGES \* ARABIC </w:instrText>
    </w:r>
    <w:r>
      <w:rPr>
        <w:rFonts w:cs="Arial"/>
        <w:b/>
        <w:sz w:val="22"/>
        <w:szCs w:val="22"/>
      </w:rPr>
      <w:fldChar w:fldCharType="separate"/>
    </w:r>
    <w:r w:rsidR="00BF5A07">
      <w:rPr>
        <w:rFonts w:cs="Arial"/>
        <w:b/>
        <w:noProof/>
        <w:sz w:val="22"/>
        <w:szCs w:val="22"/>
      </w:rPr>
      <w:t>10</w:t>
    </w:r>
    <w:r>
      <w:rPr>
        <w:rFonts w:cs="Arial"/>
        <w:b/>
        <w:sz w:val="22"/>
        <w:szCs w:val="22"/>
      </w:rPr>
      <w:fldChar w:fldCharType="end"/>
    </w:r>
  </w:p>
  <w:p w:rsidR="00A3637C" w:rsidRDefault="00A3637C" w:rsidP="00A3637C">
    <w:pPr>
      <w:jc w:val="center"/>
      <w:rPr>
        <w:rFonts w:ascii="Arial" w:hAnsi="Arial" w:cs="Arial"/>
        <w:b/>
        <w:sz w:val="24"/>
        <w:szCs w:val="24"/>
      </w:rPr>
    </w:pPr>
  </w:p>
  <w:p w:rsidR="00C55021" w:rsidRPr="003A2C44" w:rsidRDefault="00C55021" w:rsidP="00C55021">
    <w:pPr>
      <w:shd w:val="clear" w:color="auto" w:fill="FFFFFF"/>
      <w:ind w:right="-1"/>
      <w:jc w:val="center"/>
      <w:rPr>
        <w:rFonts w:ascii="Arial Narrow" w:hAnsi="Arial Narrow" w:cs="Arial"/>
        <w:b/>
        <w:sz w:val="22"/>
        <w:szCs w:val="22"/>
      </w:rPr>
    </w:pPr>
    <w:r>
      <w:rPr>
        <w:bCs/>
        <w:sz w:val="24"/>
        <w:szCs w:val="24"/>
      </w:rPr>
      <w:t>“</w:t>
    </w:r>
    <w:r w:rsidRPr="003347CF">
      <w:rPr>
        <w:bCs/>
        <w:sz w:val="24"/>
        <w:szCs w:val="24"/>
      </w:rPr>
      <w:t>Por medio del cual se actualiza el Valor Máximo por Minuto de los Parqueaderos Fuera de Vía en el Distrito Capital y se dictan otras disposiciones”</w:t>
    </w:r>
  </w:p>
  <w:p w:rsidR="00A3637C" w:rsidRPr="00C55021" w:rsidRDefault="00A3637C">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37C" w:rsidRDefault="00546AE6" w:rsidP="00A3637C">
    <w:pPr>
      <w:pStyle w:val="Encabezado"/>
      <w:jc w:val="center"/>
      <w:rPr>
        <w:b/>
        <w:bCs/>
        <w:sz w:val="12"/>
        <w:szCs w:val="12"/>
      </w:rPr>
    </w:pPr>
    <w:r>
      <w:rPr>
        <w:noProof/>
        <w:lang w:val="es-CO" w:eastAsia="es-CO"/>
      </w:rPr>
      <w:drawing>
        <wp:anchor distT="0" distB="0" distL="114935" distR="114935" simplePos="0" relativeHeight="251657216" behindDoc="0" locked="0" layoutInCell="1" allowOverlap="1">
          <wp:simplePos x="0" y="0"/>
          <wp:positionH relativeFrom="margin">
            <wp:align>center</wp:align>
          </wp:positionH>
          <wp:positionV relativeFrom="paragraph">
            <wp:posOffset>29845</wp:posOffset>
          </wp:positionV>
          <wp:extent cx="468630" cy="548005"/>
          <wp:effectExtent l="0" t="0" r="0" b="0"/>
          <wp:wrapNone/>
          <wp:docPr id="5"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5480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Default="00A3637C" w:rsidP="00A3637C">
    <w:pPr>
      <w:pStyle w:val="Encabezado"/>
      <w:jc w:val="center"/>
      <w:rPr>
        <w:b/>
        <w:bCs/>
        <w:sz w:val="12"/>
        <w:szCs w:val="12"/>
      </w:rPr>
    </w:pPr>
  </w:p>
  <w:p w:rsidR="00A3637C" w:rsidRPr="003A3F1B" w:rsidRDefault="00A3637C" w:rsidP="00A3637C">
    <w:pPr>
      <w:pStyle w:val="Encabezado"/>
      <w:jc w:val="center"/>
      <w:rPr>
        <w:b/>
        <w:bCs/>
        <w:sz w:val="12"/>
        <w:szCs w:val="12"/>
      </w:rPr>
    </w:pPr>
    <w:r w:rsidRPr="003A3F1B">
      <w:rPr>
        <w:b/>
        <w:bCs/>
        <w:sz w:val="12"/>
        <w:szCs w:val="12"/>
      </w:rPr>
      <w:t>ALCALDÍA MAYOR</w:t>
    </w:r>
  </w:p>
  <w:p w:rsidR="00A3637C" w:rsidRDefault="00A3637C" w:rsidP="00A3637C">
    <w:pPr>
      <w:pStyle w:val="Encabezado"/>
      <w:jc w:val="center"/>
      <w:rPr>
        <w:szCs w:val="16"/>
      </w:rPr>
    </w:pPr>
    <w:r w:rsidRPr="003A3F1B">
      <w:rPr>
        <w:b/>
        <w:bCs/>
        <w:sz w:val="12"/>
        <w:szCs w:val="12"/>
      </w:rPr>
      <w:t>DE BOGOTÀ, D.C</w:t>
    </w:r>
    <w:r>
      <w:rPr>
        <w:rFonts w:ascii="Arial" w:hAnsi="Arial" w:cs="Arial"/>
        <w:b/>
        <w:bCs/>
        <w:sz w:val="12"/>
        <w:szCs w:val="12"/>
      </w:rPr>
      <w:t>.</w:t>
    </w:r>
  </w:p>
  <w:p w:rsidR="00A3637C" w:rsidRDefault="00A3637C" w:rsidP="00A3637C">
    <w:pPr>
      <w:jc w:val="center"/>
      <w:rPr>
        <w:b/>
        <w:sz w:val="24"/>
        <w:szCs w:val="24"/>
      </w:rPr>
    </w:pPr>
  </w:p>
  <w:p w:rsidR="00A3637C" w:rsidRDefault="00A3637C" w:rsidP="00A3637C">
    <w:pPr>
      <w:jc w:val="center"/>
      <w:rPr>
        <w:b/>
        <w:sz w:val="24"/>
        <w:szCs w:val="24"/>
      </w:rPr>
    </w:pPr>
    <w:r>
      <w:rPr>
        <w:b/>
        <w:sz w:val="24"/>
        <w:szCs w:val="24"/>
      </w:rPr>
      <w:t xml:space="preserve">DECRETO No._______________ DE </w:t>
    </w:r>
  </w:p>
  <w:p w:rsidR="00A3637C" w:rsidRDefault="00A3637C" w:rsidP="00A3637C">
    <w:pPr>
      <w:jc w:val="center"/>
      <w:rPr>
        <w:b/>
        <w:sz w:val="24"/>
        <w:szCs w:val="24"/>
      </w:rPr>
    </w:pPr>
  </w:p>
  <w:p w:rsidR="00A3637C" w:rsidRDefault="00A3637C" w:rsidP="00A3637C">
    <w:pPr>
      <w:jc w:val="center"/>
      <w:rPr>
        <w:b/>
        <w:sz w:val="24"/>
        <w:szCs w:val="24"/>
      </w:rPr>
    </w:pPr>
    <w:r>
      <w:rPr>
        <w:b/>
        <w:sz w:val="24"/>
        <w:szCs w:val="24"/>
      </w:rPr>
      <w:t xml:space="preserve"> (                                    ) </w:t>
    </w:r>
  </w:p>
  <w:p w:rsidR="00A3637C" w:rsidRDefault="00A3637C" w:rsidP="00A3637C">
    <w:pPr>
      <w:tabs>
        <w:tab w:val="left" w:pos="6140"/>
      </w:tabs>
      <w:rPr>
        <w:bCs/>
        <w:sz w:val="24"/>
        <w:szCs w:val="24"/>
      </w:rPr>
    </w:pPr>
    <w:r>
      <w:rPr>
        <w:b/>
        <w:sz w:val="24"/>
        <w:szCs w:val="24"/>
      </w:rPr>
      <w:tab/>
    </w:r>
  </w:p>
  <w:p w:rsidR="003347CF" w:rsidRPr="003A2C44" w:rsidRDefault="003347CF" w:rsidP="003347CF">
    <w:pPr>
      <w:shd w:val="clear" w:color="auto" w:fill="FFFFFF"/>
      <w:ind w:right="-1"/>
      <w:jc w:val="center"/>
      <w:rPr>
        <w:rFonts w:ascii="Arial Narrow" w:hAnsi="Arial Narrow" w:cs="Arial"/>
        <w:b/>
        <w:sz w:val="22"/>
        <w:szCs w:val="22"/>
      </w:rPr>
    </w:pPr>
    <w:r>
      <w:rPr>
        <w:bCs/>
        <w:sz w:val="24"/>
        <w:szCs w:val="24"/>
      </w:rPr>
      <w:t>“</w:t>
    </w:r>
    <w:r w:rsidRPr="003347CF">
      <w:rPr>
        <w:bCs/>
        <w:sz w:val="24"/>
        <w:szCs w:val="24"/>
      </w:rPr>
      <w:t>Por medio del cual se actualiza el Valor Máximo por Minuto de los Parqueaderos Fuera de Vía en el Distrito Capital y se dictan otras disposiciones”</w:t>
    </w:r>
  </w:p>
  <w:p w:rsidR="00A3637C" w:rsidRDefault="00A363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0151FD1"/>
    <w:multiLevelType w:val="multilevel"/>
    <w:tmpl w:val="9BB60D30"/>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7C"/>
    <w:rsid w:val="0009339A"/>
    <w:rsid w:val="000F3AE2"/>
    <w:rsid w:val="00120933"/>
    <w:rsid w:val="001A1E8F"/>
    <w:rsid w:val="00214581"/>
    <w:rsid w:val="002233DF"/>
    <w:rsid w:val="002E2CB7"/>
    <w:rsid w:val="003347CF"/>
    <w:rsid w:val="003F7FC3"/>
    <w:rsid w:val="0040218D"/>
    <w:rsid w:val="00495970"/>
    <w:rsid w:val="00501678"/>
    <w:rsid w:val="00506743"/>
    <w:rsid w:val="0052753A"/>
    <w:rsid w:val="00545783"/>
    <w:rsid w:val="00546AE6"/>
    <w:rsid w:val="005A21FD"/>
    <w:rsid w:val="00602F39"/>
    <w:rsid w:val="00637DFE"/>
    <w:rsid w:val="006470DD"/>
    <w:rsid w:val="006536CE"/>
    <w:rsid w:val="0069284A"/>
    <w:rsid w:val="006B243E"/>
    <w:rsid w:val="006D7D51"/>
    <w:rsid w:val="007021FB"/>
    <w:rsid w:val="007422E7"/>
    <w:rsid w:val="007D057D"/>
    <w:rsid w:val="00840291"/>
    <w:rsid w:val="008722AC"/>
    <w:rsid w:val="009032C2"/>
    <w:rsid w:val="00996772"/>
    <w:rsid w:val="00A3637C"/>
    <w:rsid w:val="00A3738C"/>
    <w:rsid w:val="00AD1AE3"/>
    <w:rsid w:val="00B733EF"/>
    <w:rsid w:val="00BB5451"/>
    <w:rsid w:val="00BF5A07"/>
    <w:rsid w:val="00C55021"/>
    <w:rsid w:val="00DF6176"/>
    <w:rsid w:val="00E10540"/>
    <w:rsid w:val="00F22112"/>
    <w:rsid w:val="00F65DF1"/>
    <w:rsid w:val="00FA37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BABD28-7099-4877-A856-71B9DFFD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37C"/>
    <w:pPr>
      <w:suppressAutoHyphens/>
    </w:pPr>
    <w:rPr>
      <w:rFonts w:ascii="Times New Roman" w:eastAsia="Times New Roman" w:hAnsi="Times New Roman"/>
      <w:lang w:val="es-ES" w:eastAsia="zh-CN"/>
    </w:rPr>
  </w:style>
  <w:style w:type="paragraph" w:styleId="Ttulo2">
    <w:name w:val="heading 2"/>
    <w:basedOn w:val="Normal"/>
    <w:next w:val="Normal"/>
    <w:link w:val="Ttulo2Car"/>
    <w:qFormat/>
    <w:rsid w:val="00A3637C"/>
    <w:pPr>
      <w:keepNext/>
      <w:numPr>
        <w:ilvl w:val="1"/>
        <w:numId w:val="2"/>
      </w:numPr>
      <w:jc w:val="center"/>
      <w:outlineLvl w:val="1"/>
    </w:pPr>
    <w:rPr>
      <w:rFonts w:ascii="Arial" w:hAnsi="Arial" w:cs="Arial"/>
      <w:b/>
      <w:sz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3637C"/>
    <w:pPr>
      <w:tabs>
        <w:tab w:val="center" w:pos="4252"/>
        <w:tab w:val="right" w:pos="8504"/>
      </w:tabs>
    </w:pPr>
    <w:rPr>
      <w:lang w:val="es-ES_tradnl"/>
    </w:rPr>
  </w:style>
  <w:style w:type="character" w:customStyle="1" w:styleId="EncabezadoCar">
    <w:name w:val="Encabezado Car"/>
    <w:link w:val="Encabezado"/>
    <w:rsid w:val="00A3637C"/>
    <w:rPr>
      <w:rFonts w:ascii="Times New Roman" w:eastAsia="Times New Roman" w:hAnsi="Times New Roman" w:cs="Times New Roman"/>
      <w:sz w:val="20"/>
      <w:szCs w:val="20"/>
      <w:lang w:val="es-ES_tradnl" w:eastAsia="zh-CN"/>
    </w:rPr>
  </w:style>
  <w:style w:type="paragraph" w:styleId="Piedepgina">
    <w:name w:val="footer"/>
    <w:basedOn w:val="Normal"/>
    <w:link w:val="PiedepginaCar"/>
    <w:uiPriority w:val="99"/>
    <w:unhideWhenUsed/>
    <w:rsid w:val="00A3637C"/>
    <w:pPr>
      <w:tabs>
        <w:tab w:val="center" w:pos="4419"/>
        <w:tab w:val="right" w:pos="8838"/>
      </w:tabs>
    </w:pPr>
  </w:style>
  <w:style w:type="character" w:customStyle="1" w:styleId="PiedepginaCar">
    <w:name w:val="Pie de página Car"/>
    <w:link w:val="Piedepgina"/>
    <w:uiPriority w:val="99"/>
    <w:rsid w:val="00A3637C"/>
    <w:rPr>
      <w:rFonts w:ascii="Times New Roman" w:eastAsia="Times New Roman" w:hAnsi="Times New Roman" w:cs="Times New Roman"/>
      <w:sz w:val="20"/>
      <w:szCs w:val="20"/>
      <w:lang w:val="es-ES" w:eastAsia="zh-CN"/>
    </w:rPr>
  </w:style>
  <w:style w:type="character" w:customStyle="1" w:styleId="Ttulo2Car">
    <w:name w:val="Título 2 Car"/>
    <w:link w:val="Ttulo2"/>
    <w:rsid w:val="00A3637C"/>
    <w:rPr>
      <w:rFonts w:ascii="Arial" w:eastAsia="Times New Roman" w:hAnsi="Arial" w:cs="Arial"/>
      <w:b/>
      <w:sz w:val="26"/>
      <w:szCs w:val="20"/>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244AD-6175-4F1B-81EB-5A8BFAB1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2501</Words>
  <Characters>13757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Andres Peña Carbonell</dc:creator>
  <cp:keywords/>
  <dc:description/>
  <cp:lastModifiedBy>Alan Martin Anaya Ospino</cp:lastModifiedBy>
  <cp:revision>2</cp:revision>
  <dcterms:created xsi:type="dcterms:W3CDTF">2019-03-26T16:24:00Z</dcterms:created>
  <dcterms:modified xsi:type="dcterms:W3CDTF">2019-03-26T16:24:00Z</dcterms:modified>
</cp:coreProperties>
</file>