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065AF" w14:textId="6519D45F" w:rsidR="00360D38" w:rsidRDefault="00360D38">
      <w:pPr>
        <w:spacing w:after="0"/>
        <w:ind w:left="426" w:right="-91" w:hanging="360"/>
        <w:jc w:val="center"/>
      </w:pPr>
    </w:p>
    <w:p w14:paraId="2AF52CA3" w14:textId="1ABE20D0" w:rsidR="00360D38" w:rsidRDefault="00360D38">
      <w:pPr>
        <w:spacing w:after="0"/>
        <w:ind w:left="426" w:right="-91" w:hanging="360"/>
        <w:jc w:val="center"/>
      </w:pPr>
    </w:p>
    <w:p w14:paraId="64145278" w14:textId="77777777" w:rsidR="00A07687" w:rsidRDefault="00A07687" w:rsidP="00A07687">
      <w:pPr>
        <w:jc w:val="center"/>
        <w:rPr>
          <w:rFonts w:ascii="Calibri Light" w:eastAsia="SimSun" w:hAnsi="Calibri Light"/>
          <w:b/>
          <w:bCs/>
          <w:color w:val="2E74B5"/>
          <w:sz w:val="28"/>
          <w:szCs w:val="28"/>
        </w:rPr>
      </w:pPr>
    </w:p>
    <w:p w14:paraId="6EE2BD1A" w14:textId="6D8D247C" w:rsidR="00A07687" w:rsidRPr="00A07687" w:rsidRDefault="00A07687" w:rsidP="00A07687">
      <w:pPr>
        <w:jc w:val="center"/>
        <w:rPr>
          <w:rFonts w:ascii="Calibri Light" w:eastAsia="SimSun" w:hAnsi="Calibri Light"/>
          <w:b/>
          <w:bCs/>
          <w:color w:val="2E74B5"/>
          <w:sz w:val="28"/>
          <w:szCs w:val="28"/>
        </w:rPr>
      </w:pPr>
      <w:r w:rsidRPr="00A07687">
        <w:rPr>
          <w:rFonts w:ascii="Calibri Light" w:eastAsia="SimSun" w:hAnsi="Calibri Light"/>
          <w:b/>
          <w:bCs/>
          <w:color w:val="2E74B5"/>
          <w:sz w:val="28"/>
          <w:szCs w:val="28"/>
        </w:rPr>
        <w:t xml:space="preserve">METAS E INDICADORES </w:t>
      </w:r>
      <w:r w:rsidR="00504BB4">
        <w:rPr>
          <w:rFonts w:ascii="Calibri Light" w:eastAsia="SimSun" w:hAnsi="Calibri Light"/>
          <w:b/>
          <w:bCs/>
          <w:color w:val="2E74B5"/>
          <w:sz w:val="28"/>
          <w:szCs w:val="28"/>
        </w:rPr>
        <w:t>D</w:t>
      </w:r>
      <w:r w:rsidRPr="00A07687">
        <w:rPr>
          <w:rFonts w:ascii="Calibri Light" w:eastAsia="SimSun" w:hAnsi="Calibri Light"/>
          <w:b/>
          <w:bCs/>
          <w:color w:val="2E74B5"/>
          <w:sz w:val="28"/>
          <w:szCs w:val="28"/>
        </w:rPr>
        <w:t>E GESTIÓN</w:t>
      </w:r>
      <w:r>
        <w:rPr>
          <w:rFonts w:ascii="Calibri Light" w:eastAsia="SimSun" w:hAnsi="Calibri Light"/>
          <w:b/>
          <w:bCs/>
          <w:color w:val="2E74B5"/>
          <w:sz w:val="28"/>
          <w:szCs w:val="28"/>
        </w:rPr>
        <w:t xml:space="preserve"> 2024</w:t>
      </w:r>
    </w:p>
    <w:p w14:paraId="4CA44EA8" w14:textId="566A60FE" w:rsidR="00360D38" w:rsidRPr="00360D38" w:rsidRDefault="00360D38" w:rsidP="00360D38">
      <w:pPr>
        <w:pStyle w:val="Ttulo3"/>
        <w:jc w:val="center"/>
        <w:rPr>
          <w:b/>
          <w:bCs/>
        </w:rPr>
      </w:pPr>
    </w:p>
    <w:p w14:paraId="4A17C192" w14:textId="0C69DAF4" w:rsidR="00360D38" w:rsidRPr="00360D38" w:rsidRDefault="00360D38" w:rsidP="00360D38">
      <w:pPr>
        <w:pStyle w:val="Ttulo3"/>
        <w:jc w:val="center"/>
        <w:rPr>
          <w:b/>
          <w:bCs/>
        </w:rPr>
      </w:pPr>
    </w:p>
    <w:p w14:paraId="54017F1B" w14:textId="58761F0D" w:rsidR="00360D38" w:rsidRPr="00360D38" w:rsidRDefault="00360D38" w:rsidP="00360D38">
      <w:pPr>
        <w:pStyle w:val="Ttulo3"/>
        <w:jc w:val="center"/>
        <w:rPr>
          <w:b/>
          <w:bCs/>
        </w:rPr>
      </w:pPr>
    </w:p>
    <w:p w14:paraId="4692134F" w14:textId="229CA15C" w:rsidR="00360D38" w:rsidRDefault="00360D38" w:rsidP="00360D38">
      <w:pPr>
        <w:pStyle w:val="Ttulo3"/>
        <w:jc w:val="center"/>
        <w:rPr>
          <w:b/>
          <w:bCs/>
        </w:rPr>
      </w:pPr>
    </w:p>
    <w:p w14:paraId="6DE71219" w14:textId="54AE3474" w:rsidR="00360D38" w:rsidRDefault="00360D38" w:rsidP="00360D38"/>
    <w:p w14:paraId="3A1F2B38" w14:textId="58C9DE75" w:rsidR="00360D38" w:rsidRDefault="00360D38" w:rsidP="00360D38"/>
    <w:p w14:paraId="5368038C" w14:textId="77777777" w:rsidR="00360D38" w:rsidRPr="00360D38" w:rsidRDefault="00360D38" w:rsidP="00360D38"/>
    <w:p w14:paraId="0A30C379" w14:textId="0BC7B3A1" w:rsidR="00360D38" w:rsidRPr="00360D38" w:rsidRDefault="00360D38" w:rsidP="00360D38">
      <w:pPr>
        <w:pStyle w:val="Ttulo3"/>
        <w:jc w:val="center"/>
        <w:rPr>
          <w:b/>
          <w:bCs/>
        </w:rPr>
      </w:pPr>
    </w:p>
    <w:p w14:paraId="0742E396" w14:textId="2C219888" w:rsidR="00360D38" w:rsidRPr="00360D38" w:rsidRDefault="00360D38" w:rsidP="00360D38">
      <w:pPr>
        <w:pStyle w:val="Ttulo3"/>
        <w:jc w:val="center"/>
        <w:rPr>
          <w:b/>
          <w:bCs/>
        </w:rPr>
      </w:pPr>
    </w:p>
    <w:p w14:paraId="1FE5653C" w14:textId="3E6981BE" w:rsidR="00360D38" w:rsidRPr="00360D38" w:rsidRDefault="00360D38" w:rsidP="00360D38">
      <w:pPr>
        <w:pStyle w:val="Ttulo3"/>
        <w:jc w:val="center"/>
        <w:rPr>
          <w:b/>
          <w:bCs/>
        </w:rPr>
      </w:pPr>
    </w:p>
    <w:p w14:paraId="70A332C8" w14:textId="3FE01DEA" w:rsidR="00360D38" w:rsidRPr="00360D38" w:rsidRDefault="00360D38" w:rsidP="00360D38">
      <w:pPr>
        <w:pStyle w:val="Ttulo3"/>
        <w:jc w:val="center"/>
        <w:rPr>
          <w:b/>
          <w:bCs/>
        </w:rPr>
      </w:pPr>
    </w:p>
    <w:p w14:paraId="13E86C35" w14:textId="465A4827" w:rsidR="00360D38" w:rsidRPr="00360D38" w:rsidRDefault="00360D38" w:rsidP="00360D38">
      <w:pPr>
        <w:pStyle w:val="Ttulo3"/>
        <w:jc w:val="center"/>
        <w:rPr>
          <w:b/>
          <w:bCs/>
        </w:rPr>
      </w:pPr>
      <w:r w:rsidRPr="00360D38">
        <w:rPr>
          <w:b/>
          <w:bCs/>
        </w:rPr>
        <w:t>SECRETARIA DISTRITAL DE MOVILIDAD</w:t>
      </w:r>
    </w:p>
    <w:p w14:paraId="108ECB53" w14:textId="511AE9BF" w:rsidR="00360D38" w:rsidRPr="00360D38" w:rsidRDefault="00360D38" w:rsidP="00360D38">
      <w:pPr>
        <w:pStyle w:val="Ttulo3"/>
        <w:jc w:val="center"/>
        <w:rPr>
          <w:b/>
          <w:bCs/>
        </w:rPr>
      </w:pPr>
    </w:p>
    <w:p w14:paraId="10861FE1" w14:textId="0481A5E7" w:rsidR="00360D38" w:rsidRPr="00360D38" w:rsidRDefault="00360D38" w:rsidP="00360D38">
      <w:pPr>
        <w:pStyle w:val="Ttulo3"/>
        <w:jc w:val="center"/>
        <w:rPr>
          <w:b/>
          <w:bCs/>
        </w:rPr>
      </w:pPr>
    </w:p>
    <w:p w14:paraId="7CC63401" w14:textId="5AC60731" w:rsidR="00360D38" w:rsidRPr="00360D38" w:rsidRDefault="00360D38" w:rsidP="00360D38">
      <w:pPr>
        <w:pStyle w:val="Ttulo3"/>
        <w:jc w:val="center"/>
        <w:rPr>
          <w:b/>
          <w:bCs/>
        </w:rPr>
      </w:pPr>
    </w:p>
    <w:p w14:paraId="7A0ED450" w14:textId="25F40863" w:rsidR="00360D38" w:rsidRPr="00360D38" w:rsidRDefault="00360D38" w:rsidP="00360D38">
      <w:pPr>
        <w:pStyle w:val="Ttulo3"/>
        <w:jc w:val="center"/>
        <w:rPr>
          <w:b/>
          <w:bCs/>
        </w:rPr>
      </w:pPr>
    </w:p>
    <w:p w14:paraId="1DF2733E" w14:textId="793BCA9E" w:rsidR="00360D38" w:rsidRPr="00360D38" w:rsidRDefault="00360D38" w:rsidP="00360D38">
      <w:pPr>
        <w:pStyle w:val="Ttulo3"/>
        <w:jc w:val="center"/>
        <w:rPr>
          <w:b/>
          <w:bCs/>
        </w:rPr>
      </w:pPr>
    </w:p>
    <w:p w14:paraId="05D8F8FA" w14:textId="6FD43FBF" w:rsidR="00360D38" w:rsidRPr="00360D38" w:rsidRDefault="00360D38" w:rsidP="00360D38">
      <w:pPr>
        <w:pStyle w:val="Ttulo3"/>
        <w:jc w:val="center"/>
        <w:rPr>
          <w:b/>
          <w:bCs/>
        </w:rPr>
      </w:pPr>
    </w:p>
    <w:p w14:paraId="3C9E73AE" w14:textId="25C8A644" w:rsidR="00360D38" w:rsidRPr="00360D38" w:rsidRDefault="00360D38" w:rsidP="00360D38">
      <w:pPr>
        <w:pStyle w:val="Ttulo3"/>
        <w:jc w:val="center"/>
        <w:rPr>
          <w:b/>
          <w:bCs/>
        </w:rPr>
      </w:pPr>
    </w:p>
    <w:p w14:paraId="1D9F4031" w14:textId="016E6834" w:rsidR="00360D38" w:rsidRPr="00360D38" w:rsidRDefault="00360D38" w:rsidP="00360D38">
      <w:pPr>
        <w:pStyle w:val="Ttulo3"/>
        <w:jc w:val="center"/>
        <w:rPr>
          <w:b/>
          <w:bCs/>
        </w:rPr>
      </w:pPr>
    </w:p>
    <w:p w14:paraId="03A0428D" w14:textId="3625BC6B" w:rsidR="00360D38" w:rsidRPr="00360D38" w:rsidRDefault="00360D38" w:rsidP="00360D38">
      <w:pPr>
        <w:pStyle w:val="Ttulo3"/>
        <w:jc w:val="center"/>
        <w:rPr>
          <w:b/>
          <w:bCs/>
        </w:rPr>
      </w:pPr>
    </w:p>
    <w:p w14:paraId="60BA25C0" w14:textId="60471F46" w:rsidR="00360D38" w:rsidRPr="00360D38" w:rsidRDefault="00360D38" w:rsidP="00360D38">
      <w:pPr>
        <w:pStyle w:val="Ttulo3"/>
        <w:jc w:val="center"/>
        <w:rPr>
          <w:b/>
          <w:bCs/>
        </w:rPr>
      </w:pPr>
    </w:p>
    <w:p w14:paraId="2387A92E" w14:textId="26722101" w:rsidR="00360D38" w:rsidRPr="00360D38" w:rsidRDefault="00360D38" w:rsidP="00360D38">
      <w:pPr>
        <w:pStyle w:val="Ttulo3"/>
        <w:jc w:val="center"/>
        <w:rPr>
          <w:b/>
          <w:bCs/>
        </w:rPr>
      </w:pPr>
    </w:p>
    <w:p w14:paraId="0368EE4C" w14:textId="6B8A7F4C" w:rsidR="00360D38" w:rsidRPr="00360D38" w:rsidRDefault="00360D38" w:rsidP="00360D38">
      <w:pPr>
        <w:pStyle w:val="Ttulo3"/>
        <w:jc w:val="center"/>
        <w:rPr>
          <w:b/>
          <w:bCs/>
        </w:rPr>
      </w:pPr>
    </w:p>
    <w:p w14:paraId="3B426E76" w14:textId="7E947569" w:rsidR="00360D38" w:rsidRPr="00360D38" w:rsidRDefault="00360D38" w:rsidP="00360D38">
      <w:pPr>
        <w:pStyle w:val="Ttulo3"/>
        <w:jc w:val="center"/>
        <w:rPr>
          <w:b/>
          <w:bCs/>
        </w:rPr>
      </w:pPr>
    </w:p>
    <w:p w14:paraId="20694777" w14:textId="56CA3E0C" w:rsidR="00360D38" w:rsidRPr="00360D38" w:rsidRDefault="00360D38" w:rsidP="00360D38">
      <w:pPr>
        <w:pStyle w:val="Ttulo3"/>
        <w:jc w:val="center"/>
        <w:rPr>
          <w:b/>
          <w:bCs/>
        </w:rPr>
      </w:pPr>
      <w:r w:rsidRPr="00360D38">
        <w:rPr>
          <w:b/>
          <w:bCs/>
        </w:rPr>
        <w:t>01 ENERO A 31 DE DICIEMBRE DE 2024</w:t>
      </w:r>
    </w:p>
    <w:p w14:paraId="09964E37" w14:textId="6643377F" w:rsidR="00360D38" w:rsidRPr="00360D38" w:rsidRDefault="00360D38" w:rsidP="00360D38">
      <w:pPr>
        <w:pStyle w:val="Ttulo3"/>
        <w:jc w:val="center"/>
        <w:rPr>
          <w:b/>
          <w:bCs/>
        </w:rPr>
      </w:pPr>
    </w:p>
    <w:p w14:paraId="3BB4E0B9" w14:textId="251DEE07" w:rsidR="00360D38" w:rsidRDefault="00360D38">
      <w:pPr>
        <w:spacing w:after="0"/>
        <w:ind w:left="426" w:right="-91" w:hanging="360"/>
        <w:jc w:val="center"/>
      </w:pPr>
    </w:p>
    <w:p w14:paraId="08414DB3" w14:textId="4C4E869F" w:rsidR="00360D38" w:rsidRDefault="00360D38">
      <w:pPr>
        <w:spacing w:after="0"/>
        <w:ind w:left="426" w:right="-91" w:hanging="360"/>
        <w:jc w:val="center"/>
      </w:pPr>
    </w:p>
    <w:p w14:paraId="763CB122" w14:textId="25961CA4" w:rsidR="00360D38" w:rsidRPr="00360D38" w:rsidRDefault="00360D38" w:rsidP="00360D38">
      <w:pPr>
        <w:pStyle w:val="Ttulo3"/>
        <w:jc w:val="center"/>
        <w:rPr>
          <w:b/>
          <w:bCs/>
        </w:rPr>
      </w:pPr>
      <w:r w:rsidRPr="00360D38">
        <w:rPr>
          <w:b/>
          <w:bCs/>
        </w:rPr>
        <w:t>CONTENIDO</w:t>
      </w:r>
    </w:p>
    <w:p w14:paraId="521A7B9B" w14:textId="5D04DBA6" w:rsidR="00360D38" w:rsidRDefault="00360D38">
      <w:pPr>
        <w:spacing w:after="0"/>
        <w:ind w:left="426" w:right="-91" w:hanging="360"/>
        <w:jc w:val="center"/>
      </w:pPr>
    </w:p>
    <w:p w14:paraId="56D5C746" w14:textId="355D3437" w:rsidR="00360D38" w:rsidRDefault="00133E7E" w:rsidP="000659DB">
      <w:pPr>
        <w:pStyle w:val="Ttulo4"/>
        <w:numPr>
          <w:ilvl w:val="0"/>
          <w:numId w:val="19"/>
        </w:numPr>
        <w:tabs>
          <w:tab w:val="left" w:pos="567"/>
        </w:tabs>
        <w:ind w:left="0" w:right="-91" w:firstLine="0"/>
        <w:jc w:val="both"/>
      </w:pPr>
      <w:r w:rsidRPr="00330B6F">
        <w:rPr>
          <w:color w:val="000000" w:themeColor="text1"/>
        </w:rPr>
        <w:t>Logros sobre metas del plan de desarrollo 2020 -2024 “Un nuevo contrato social y</w:t>
      </w:r>
      <w:r w:rsidR="004217D9" w:rsidRPr="00330B6F">
        <w:rPr>
          <w:color w:val="000000" w:themeColor="text1"/>
        </w:rPr>
        <w:t xml:space="preserve"> </w:t>
      </w:r>
      <w:r w:rsidRPr="00330B6F">
        <w:rPr>
          <w:color w:val="000000" w:themeColor="text1"/>
        </w:rPr>
        <w:t>ambiental para Bogotá del siglo XXI y Bogotá Camina Segur</w:t>
      </w:r>
      <w:r w:rsidR="00330B6F">
        <w:rPr>
          <w:color w:val="000000" w:themeColor="text1"/>
        </w:rPr>
        <w:t>a</w:t>
      </w:r>
    </w:p>
    <w:p w14:paraId="54A5CAE8" w14:textId="77777777" w:rsidR="00464642" w:rsidRDefault="00464642">
      <w:pPr>
        <w:spacing w:before="240" w:after="0" w:line="276" w:lineRule="auto"/>
        <w:jc w:val="both"/>
        <w:sectPr w:rsidR="00464642">
          <w:headerReference w:type="default" r:id="rId9"/>
          <w:footerReference w:type="default" r:id="rId10"/>
          <w:headerReference w:type="first" r:id="rId11"/>
          <w:footerReference w:type="first" r:id="rId12"/>
          <w:pgSz w:w="11909" w:h="16834"/>
          <w:pgMar w:top="1559" w:right="1701" w:bottom="1843" w:left="1701" w:header="709" w:footer="1327" w:gutter="0"/>
          <w:cols w:space="720"/>
          <w:titlePg/>
        </w:sectPr>
      </w:pPr>
    </w:p>
    <w:p w14:paraId="7E62B3D7" w14:textId="7D6D721B" w:rsidR="00464642" w:rsidRDefault="00416049" w:rsidP="000A12E2">
      <w:pPr>
        <w:pStyle w:val="Ttulo"/>
        <w:rPr>
          <w:b/>
        </w:rPr>
      </w:pPr>
      <w:r>
        <w:rPr>
          <w:sz w:val="40"/>
          <w:szCs w:val="40"/>
        </w:rPr>
        <w:lastRenderedPageBreak/>
        <w:t xml:space="preserve">ANEXO </w:t>
      </w:r>
      <w:r w:rsidR="004217D9">
        <w:rPr>
          <w:sz w:val="40"/>
          <w:szCs w:val="40"/>
        </w:rPr>
        <w:t>4</w:t>
      </w:r>
      <w:r>
        <w:rPr>
          <w:sz w:val="40"/>
          <w:szCs w:val="40"/>
        </w:rPr>
        <w:t>.</w:t>
      </w:r>
      <w:r>
        <w:rPr>
          <w:b/>
        </w:rPr>
        <w:t xml:space="preserve"> </w:t>
      </w:r>
    </w:p>
    <w:p w14:paraId="6ABF7E07" w14:textId="77777777" w:rsidR="000A12E2" w:rsidRPr="000A12E2" w:rsidRDefault="000A12E2" w:rsidP="000A12E2"/>
    <w:p w14:paraId="42AE44B5" w14:textId="77777777" w:rsidR="00464642" w:rsidRDefault="00416049" w:rsidP="00330B6F">
      <w:pPr>
        <w:numPr>
          <w:ilvl w:val="3"/>
          <w:numId w:val="14"/>
        </w:numPr>
        <w:pBdr>
          <w:top w:val="nil"/>
          <w:left w:val="nil"/>
          <w:bottom w:val="nil"/>
          <w:right w:val="nil"/>
          <w:between w:val="nil"/>
        </w:pBdr>
        <w:spacing w:after="0"/>
        <w:ind w:left="284" w:hanging="284"/>
      </w:pPr>
      <w:r>
        <w:t xml:space="preserve">AVANCES Y LOGROS METAS DEL PLAN DE DESARROLLO </w:t>
      </w:r>
    </w:p>
    <w:p w14:paraId="328EBDC7" w14:textId="77777777" w:rsidR="00464642" w:rsidRDefault="00416049" w:rsidP="00330B6F">
      <w:pPr>
        <w:spacing w:after="0"/>
      </w:pPr>
      <w:r>
        <w:t>2.1 PLAN DISTRITAL DE DESARROLLO UN NUEVO CONTRATO SOCIAL Y AMBIENTAL PARA LA BOGOTÁ DEL SIGLO XXI</w:t>
      </w:r>
    </w:p>
    <w:p w14:paraId="291355F5" w14:textId="03468FBD" w:rsidR="00464642" w:rsidRDefault="00416049" w:rsidP="00330B6F">
      <w:pPr>
        <w:spacing w:before="240" w:after="0"/>
        <w:jc w:val="both"/>
        <w:rPr>
          <w:rFonts w:ascii="Arial" w:eastAsia="Arial" w:hAnsi="Arial" w:cs="Arial"/>
          <w:sz w:val="21"/>
          <w:szCs w:val="21"/>
          <w:highlight w:val="white"/>
        </w:rPr>
      </w:pPr>
      <w:r>
        <w:rPr>
          <w:rFonts w:ascii="Arial" w:eastAsia="Arial" w:hAnsi="Arial" w:cs="Arial"/>
          <w:sz w:val="21"/>
          <w:szCs w:val="21"/>
          <w:highlight w:val="white"/>
        </w:rPr>
        <w:t>La Secretaría Distrital de Movilidad a través de los proyectos de inversión tiene a su cargo 23 Metas Plan de Desarrollo. Estas están asociadas a los Programas 1, 35, 49, 51 y 56 del Plan de Desarrollo Distrital. A continuación, el seguimiento a mayo de 2024:</w:t>
      </w:r>
    </w:p>
    <w:p w14:paraId="4504EA86" w14:textId="77777777" w:rsidR="000A12E2" w:rsidRDefault="000A12E2" w:rsidP="00330B6F">
      <w:pPr>
        <w:spacing w:before="240" w:after="0"/>
        <w:jc w:val="both"/>
        <w:rPr>
          <w:rFonts w:ascii="Arial" w:eastAsia="Arial" w:hAnsi="Arial" w:cs="Arial"/>
          <w:sz w:val="21"/>
          <w:szCs w:val="21"/>
          <w:highlight w:val="white"/>
        </w:rPr>
      </w:pPr>
    </w:p>
    <w:tbl>
      <w:tblPr>
        <w:tblStyle w:val="Tablaconcuadrcula5oscura-nfasis5"/>
        <w:tblW w:w="13431" w:type="dxa"/>
        <w:tblLayout w:type="fixed"/>
        <w:tblLook w:val="0600" w:firstRow="0" w:lastRow="0" w:firstColumn="0" w:lastColumn="0" w:noHBand="1" w:noVBand="1"/>
      </w:tblPr>
      <w:tblGrid>
        <w:gridCol w:w="13431"/>
      </w:tblGrid>
      <w:tr w:rsidR="003B014D" w:rsidRPr="003B014D" w14:paraId="4E2C744C" w14:textId="77777777" w:rsidTr="000A12E2">
        <w:trPr>
          <w:trHeight w:val="515"/>
        </w:trPr>
        <w:tc>
          <w:tcPr>
            <w:tcW w:w="13431" w:type="dxa"/>
            <w:shd w:val="clear" w:color="auto" w:fill="4274B0"/>
          </w:tcPr>
          <w:p w14:paraId="494C0AE6" w14:textId="77777777" w:rsidR="003B014D" w:rsidRPr="00E53CC3" w:rsidRDefault="003B014D" w:rsidP="000A12E2">
            <w:pPr>
              <w:widowControl w:val="0"/>
              <w:spacing w:after="0" w:line="240" w:lineRule="auto"/>
              <w:jc w:val="center"/>
              <w:rPr>
                <w:b/>
                <w:bCs/>
                <w:color w:val="FFFFFF" w:themeColor="background1"/>
              </w:rPr>
            </w:pPr>
            <w:r w:rsidRPr="00E53CC3">
              <w:rPr>
                <w:b/>
                <w:bCs/>
                <w:color w:val="FFFFFF" w:themeColor="background1"/>
              </w:rPr>
              <w:t xml:space="preserve">PROGRAMA 1: SUBSIDIOS Y TRANSFERENCIAS PARA LA EQUIDAD </w:t>
            </w:r>
          </w:p>
          <w:p w14:paraId="0285481F" w14:textId="1CB91455" w:rsidR="003B014D" w:rsidRPr="003B014D" w:rsidRDefault="003B014D" w:rsidP="000A12E2">
            <w:pPr>
              <w:spacing w:before="240" w:after="240" w:line="240" w:lineRule="auto"/>
              <w:jc w:val="center"/>
              <w:rPr>
                <w:b/>
                <w:bCs/>
                <w:color w:val="000000" w:themeColor="text1"/>
              </w:rPr>
            </w:pPr>
            <w:r w:rsidRPr="00E53CC3">
              <w:rPr>
                <w:b/>
                <w:bCs/>
                <w:color w:val="FFFFFF" w:themeColor="background1"/>
                <w:sz w:val="20"/>
                <w:szCs w:val="20"/>
              </w:rPr>
              <w:t>Proyecto de inversión 7596 Desarrollo de Lineamientos estratégicos e insumos con enfoques diferenciales</w:t>
            </w:r>
          </w:p>
        </w:tc>
      </w:tr>
    </w:tbl>
    <w:p w14:paraId="499B01AF" w14:textId="77777777" w:rsidR="000A12E2" w:rsidRPr="00E53CC3" w:rsidRDefault="000A12E2" w:rsidP="00330B6F">
      <w:pPr>
        <w:widowControl w:val="0"/>
        <w:spacing w:after="0" w:line="240" w:lineRule="auto"/>
        <w:ind w:left="113"/>
        <w:rPr>
          <w:b/>
          <w:bCs/>
          <w:color w:val="FFFFFF" w:themeColor="background1"/>
        </w:rPr>
      </w:pPr>
    </w:p>
    <w:tbl>
      <w:tblPr>
        <w:tblStyle w:val="Tablaconcuadrcula5oscura-nfasis5"/>
        <w:tblW w:w="13431" w:type="dxa"/>
        <w:tblLayout w:type="fixed"/>
        <w:tblLook w:val="0600" w:firstRow="0" w:lastRow="0" w:firstColumn="0" w:lastColumn="0" w:noHBand="1" w:noVBand="1"/>
      </w:tblPr>
      <w:tblGrid>
        <w:gridCol w:w="2972"/>
        <w:gridCol w:w="1559"/>
        <w:gridCol w:w="1134"/>
        <w:gridCol w:w="1560"/>
        <w:gridCol w:w="6206"/>
      </w:tblGrid>
      <w:tr w:rsidR="00202088" w:rsidRPr="00202088" w14:paraId="3DC4D59A" w14:textId="77777777" w:rsidTr="003B014D">
        <w:trPr>
          <w:trHeight w:val="690"/>
          <w:tblHeader/>
        </w:trPr>
        <w:tc>
          <w:tcPr>
            <w:tcW w:w="2972" w:type="dxa"/>
          </w:tcPr>
          <w:p w14:paraId="194695E3" w14:textId="3F18B2C4" w:rsidR="003B014D" w:rsidRPr="00202088" w:rsidRDefault="003B014D" w:rsidP="003B014D">
            <w:pPr>
              <w:spacing w:after="240" w:line="240" w:lineRule="auto"/>
              <w:jc w:val="center"/>
              <w:rPr>
                <w:b/>
                <w:bCs/>
                <w:color w:val="002060"/>
                <w:sz w:val="18"/>
                <w:szCs w:val="18"/>
              </w:rPr>
            </w:pPr>
            <w:r w:rsidRPr="00202088">
              <w:rPr>
                <w:b/>
                <w:bCs/>
                <w:color w:val="002060"/>
              </w:rPr>
              <w:lastRenderedPageBreak/>
              <w:t>Meta Plan de Desarrollo</w:t>
            </w:r>
          </w:p>
        </w:tc>
        <w:tc>
          <w:tcPr>
            <w:tcW w:w="1559" w:type="dxa"/>
          </w:tcPr>
          <w:p w14:paraId="516F7141" w14:textId="77777777" w:rsidR="003B014D" w:rsidRPr="00202088" w:rsidRDefault="003B014D" w:rsidP="003B014D">
            <w:pPr>
              <w:widowControl w:val="0"/>
              <w:spacing w:after="0" w:line="240" w:lineRule="auto"/>
              <w:rPr>
                <w:b/>
                <w:bCs/>
                <w:color w:val="002060"/>
              </w:rPr>
            </w:pPr>
            <w:r w:rsidRPr="00202088">
              <w:rPr>
                <w:b/>
                <w:bCs/>
                <w:color w:val="002060"/>
              </w:rPr>
              <w:t>Magnitud</w:t>
            </w:r>
          </w:p>
          <w:p w14:paraId="43F0F32A" w14:textId="3B58A9B3" w:rsidR="003B014D" w:rsidRPr="00202088" w:rsidRDefault="003B014D" w:rsidP="003B014D">
            <w:pPr>
              <w:spacing w:after="240" w:line="240" w:lineRule="auto"/>
              <w:jc w:val="center"/>
              <w:rPr>
                <w:b/>
                <w:bCs/>
                <w:color w:val="002060"/>
                <w:sz w:val="18"/>
                <w:szCs w:val="18"/>
              </w:rPr>
            </w:pPr>
            <w:r w:rsidRPr="00202088">
              <w:rPr>
                <w:b/>
                <w:bCs/>
                <w:color w:val="002060"/>
              </w:rPr>
              <w:t>Programada</w:t>
            </w:r>
          </w:p>
        </w:tc>
        <w:tc>
          <w:tcPr>
            <w:tcW w:w="1134" w:type="dxa"/>
          </w:tcPr>
          <w:p w14:paraId="7DA4444C" w14:textId="77777777" w:rsidR="003B014D" w:rsidRPr="00202088" w:rsidRDefault="003B014D" w:rsidP="003B014D">
            <w:pPr>
              <w:widowControl w:val="0"/>
              <w:spacing w:after="0" w:line="240" w:lineRule="auto"/>
              <w:rPr>
                <w:b/>
                <w:bCs/>
                <w:color w:val="002060"/>
              </w:rPr>
            </w:pPr>
            <w:r w:rsidRPr="00202088">
              <w:rPr>
                <w:b/>
                <w:bCs/>
                <w:color w:val="002060"/>
              </w:rPr>
              <w:t xml:space="preserve">Magnitud </w:t>
            </w:r>
          </w:p>
          <w:p w14:paraId="0DAD79F6" w14:textId="401FCC92" w:rsidR="003B014D" w:rsidRPr="00202088" w:rsidRDefault="003B014D" w:rsidP="003B014D">
            <w:pPr>
              <w:spacing w:after="240" w:line="240" w:lineRule="auto"/>
              <w:rPr>
                <w:b/>
                <w:bCs/>
                <w:color w:val="002060"/>
                <w:sz w:val="18"/>
                <w:szCs w:val="18"/>
              </w:rPr>
            </w:pPr>
            <w:r w:rsidRPr="00202088">
              <w:rPr>
                <w:b/>
                <w:bCs/>
                <w:color w:val="002060"/>
              </w:rPr>
              <w:t>Ejecutada</w:t>
            </w:r>
          </w:p>
        </w:tc>
        <w:tc>
          <w:tcPr>
            <w:tcW w:w="1560" w:type="dxa"/>
          </w:tcPr>
          <w:p w14:paraId="532C94D4" w14:textId="6E056F96" w:rsidR="003B014D" w:rsidRPr="00202088" w:rsidRDefault="003B014D" w:rsidP="003B014D">
            <w:pPr>
              <w:spacing w:after="240" w:line="240" w:lineRule="auto"/>
              <w:jc w:val="center"/>
              <w:rPr>
                <w:b/>
                <w:bCs/>
                <w:color w:val="002060"/>
                <w:sz w:val="18"/>
                <w:szCs w:val="18"/>
              </w:rPr>
            </w:pPr>
            <w:r w:rsidRPr="00202088">
              <w:rPr>
                <w:b/>
                <w:bCs/>
                <w:color w:val="002060"/>
              </w:rPr>
              <w:t>% de Cumplimiento</w:t>
            </w:r>
          </w:p>
        </w:tc>
        <w:tc>
          <w:tcPr>
            <w:tcW w:w="6206" w:type="dxa"/>
          </w:tcPr>
          <w:p w14:paraId="70566746" w14:textId="6DD76004" w:rsidR="003B014D" w:rsidRPr="00202088" w:rsidRDefault="003B014D" w:rsidP="003B014D">
            <w:pPr>
              <w:spacing w:after="240" w:line="240" w:lineRule="auto"/>
              <w:jc w:val="center"/>
              <w:rPr>
                <w:b/>
                <w:bCs/>
                <w:color w:val="002060"/>
                <w:sz w:val="18"/>
                <w:szCs w:val="18"/>
              </w:rPr>
            </w:pPr>
            <w:r w:rsidRPr="00202088">
              <w:rPr>
                <w:b/>
                <w:bCs/>
                <w:color w:val="002060"/>
              </w:rPr>
              <w:t>Logros, Avances y Dificultades</w:t>
            </w:r>
          </w:p>
        </w:tc>
      </w:tr>
      <w:tr w:rsidR="00202088" w:rsidRPr="00202088" w14:paraId="085F6E96" w14:textId="77777777" w:rsidTr="00E53CC3">
        <w:trPr>
          <w:trHeight w:val="4726"/>
        </w:trPr>
        <w:tc>
          <w:tcPr>
            <w:tcW w:w="2972" w:type="dxa"/>
            <w:shd w:val="clear" w:color="auto" w:fill="F2F2F2" w:themeFill="background1" w:themeFillShade="F2"/>
          </w:tcPr>
          <w:p w14:paraId="06329DB7" w14:textId="508B248A" w:rsidR="003B014D" w:rsidRPr="00202088" w:rsidRDefault="003B014D" w:rsidP="003B014D">
            <w:pPr>
              <w:spacing w:before="240" w:after="240" w:line="240" w:lineRule="auto"/>
              <w:jc w:val="both"/>
              <w:rPr>
                <w:color w:val="002060"/>
                <w:sz w:val="20"/>
                <w:szCs w:val="20"/>
              </w:rPr>
            </w:pPr>
            <w:r w:rsidRPr="00202088">
              <w:rPr>
                <w:color w:val="002060"/>
                <w:sz w:val="20"/>
                <w:szCs w:val="20"/>
              </w:rPr>
              <w:t>1.Diseñar e implementar 4 fuentes de fondeo para el SITP y el Sector Movilidad</w:t>
            </w:r>
          </w:p>
        </w:tc>
        <w:tc>
          <w:tcPr>
            <w:tcW w:w="1559" w:type="dxa"/>
            <w:shd w:val="clear" w:color="auto" w:fill="F2F2F2" w:themeFill="background1" w:themeFillShade="F2"/>
          </w:tcPr>
          <w:p w14:paraId="5ED92D27" w14:textId="0505AA83" w:rsidR="003B014D" w:rsidRPr="00202088" w:rsidRDefault="003B014D" w:rsidP="003B014D">
            <w:pPr>
              <w:spacing w:before="240" w:after="240" w:line="240" w:lineRule="auto"/>
              <w:jc w:val="center"/>
              <w:rPr>
                <w:color w:val="002060"/>
                <w:sz w:val="20"/>
                <w:szCs w:val="20"/>
              </w:rPr>
            </w:pPr>
            <w:r w:rsidRPr="00202088">
              <w:rPr>
                <w:color w:val="002060"/>
                <w:sz w:val="20"/>
                <w:szCs w:val="20"/>
              </w:rPr>
              <w:t>4</w:t>
            </w:r>
          </w:p>
        </w:tc>
        <w:tc>
          <w:tcPr>
            <w:tcW w:w="1134" w:type="dxa"/>
            <w:shd w:val="clear" w:color="auto" w:fill="F2F2F2" w:themeFill="background1" w:themeFillShade="F2"/>
          </w:tcPr>
          <w:p w14:paraId="4CA6096F" w14:textId="456B180A" w:rsidR="003B014D" w:rsidRPr="00202088" w:rsidRDefault="003B014D" w:rsidP="003B014D">
            <w:pPr>
              <w:spacing w:before="240" w:after="240" w:line="240" w:lineRule="auto"/>
              <w:jc w:val="center"/>
              <w:rPr>
                <w:color w:val="002060"/>
                <w:sz w:val="20"/>
                <w:szCs w:val="20"/>
              </w:rPr>
            </w:pPr>
            <w:r w:rsidRPr="00202088">
              <w:rPr>
                <w:color w:val="002060"/>
                <w:sz w:val="20"/>
                <w:szCs w:val="20"/>
              </w:rPr>
              <w:t>4</w:t>
            </w:r>
          </w:p>
        </w:tc>
        <w:tc>
          <w:tcPr>
            <w:tcW w:w="1560" w:type="dxa"/>
            <w:shd w:val="clear" w:color="auto" w:fill="F2F2F2" w:themeFill="background1" w:themeFillShade="F2"/>
          </w:tcPr>
          <w:p w14:paraId="18C4C01E" w14:textId="3886172B" w:rsidR="003B014D" w:rsidRPr="00202088" w:rsidRDefault="003B014D" w:rsidP="003B014D">
            <w:pPr>
              <w:spacing w:before="240" w:after="240" w:line="240" w:lineRule="auto"/>
              <w:jc w:val="center"/>
              <w:rPr>
                <w:color w:val="002060"/>
                <w:sz w:val="20"/>
                <w:szCs w:val="20"/>
              </w:rPr>
            </w:pPr>
            <w:r w:rsidRPr="00202088">
              <w:rPr>
                <w:color w:val="002060"/>
                <w:sz w:val="20"/>
                <w:szCs w:val="20"/>
              </w:rPr>
              <w:t>100%</w:t>
            </w:r>
          </w:p>
        </w:tc>
        <w:tc>
          <w:tcPr>
            <w:tcW w:w="6206" w:type="dxa"/>
            <w:shd w:val="clear" w:color="auto" w:fill="F2F2F2" w:themeFill="background1" w:themeFillShade="F2"/>
          </w:tcPr>
          <w:p w14:paraId="0B3396CE"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 xml:space="preserve">En cumplimiento de la meta se diseñaron e implementaron las 4 fuentes de fondeo para el SITP y el sector movilidad, programadas para el cuatrienio: </w:t>
            </w:r>
          </w:p>
          <w:p w14:paraId="552D0991"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1.</w:t>
            </w:r>
            <w:r w:rsidRPr="00202088">
              <w:rPr>
                <w:color w:val="002060"/>
                <w:sz w:val="20"/>
                <w:szCs w:val="20"/>
              </w:rPr>
              <w:tab/>
              <w:t>Pago voluntario por acceso a zona con restricción ha recaudado.</w:t>
            </w:r>
          </w:p>
          <w:p w14:paraId="3BD4EA60"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2.</w:t>
            </w:r>
            <w:r w:rsidRPr="00202088">
              <w:rPr>
                <w:color w:val="002060"/>
                <w:sz w:val="20"/>
                <w:szCs w:val="20"/>
              </w:rPr>
              <w:tab/>
              <w:t xml:space="preserve">Tasa para revisión, evaluación y seguimiento de derechos de tránsito. </w:t>
            </w:r>
          </w:p>
          <w:p w14:paraId="72303186"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3.</w:t>
            </w:r>
            <w:r w:rsidRPr="00202088">
              <w:rPr>
                <w:color w:val="002060"/>
                <w:sz w:val="20"/>
                <w:szCs w:val="20"/>
              </w:rPr>
              <w:tab/>
              <w:t>Derecho de estacionamiento sobre las vías públicas.</w:t>
            </w:r>
          </w:p>
          <w:p w14:paraId="3DE8DAEA"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4.</w:t>
            </w:r>
            <w:r w:rsidRPr="00202088">
              <w:rPr>
                <w:color w:val="002060"/>
                <w:sz w:val="20"/>
                <w:szCs w:val="20"/>
              </w:rPr>
              <w:tab/>
              <w:t>Valet Parking.</w:t>
            </w:r>
          </w:p>
          <w:p w14:paraId="292318F4" w14:textId="77777777" w:rsidR="003B014D" w:rsidRPr="00202088" w:rsidRDefault="003B014D" w:rsidP="003B014D">
            <w:pPr>
              <w:widowControl w:val="0"/>
              <w:spacing w:after="0" w:line="240" w:lineRule="auto"/>
              <w:rPr>
                <w:color w:val="002060"/>
                <w:sz w:val="20"/>
                <w:szCs w:val="20"/>
              </w:rPr>
            </w:pPr>
          </w:p>
          <w:p w14:paraId="4281093B" w14:textId="77777777" w:rsidR="003B014D" w:rsidRPr="00202088" w:rsidRDefault="003B014D" w:rsidP="003B014D">
            <w:pPr>
              <w:widowControl w:val="0"/>
              <w:spacing w:after="0" w:line="240" w:lineRule="auto"/>
              <w:rPr>
                <w:color w:val="002060"/>
                <w:sz w:val="20"/>
                <w:szCs w:val="20"/>
              </w:rPr>
            </w:pPr>
            <w:r w:rsidRPr="00202088">
              <w:rPr>
                <w:color w:val="002060"/>
                <w:sz w:val="20"/>
                <w:szCs w:val="20"/>
              </w:rPr>
              <w:t>A pesar de la nulidad de una de la fuente No 2 por decisión judicial, las restantes han demostrado ser exitosas en términos de recaudo, superando las proyecciones realizadas. Este logro aporta a la sostenibilidad financiera del sistema de transporte público de Bogotá y mejorar la movilidad en la ciudad.</w:t>
            </w:r>
          </w:p>
          <w:p w14:paraId="73686E61" w14:textId="45F9919F" w:rsidR="003B014D" w:rsidRPr="00202088" w:rsidRDefault="003B014D" w:rsidP="003B014D">
            <w:pPr>
              <w:widowControl w:val="0"/>
              <w:spacing w:after="0" w:line="240" w:lineRule="auto"/>
              <w:rPr>
                <w:color w:val="002060"/>
                <w:sz w:val="20"/>
                <w:szCs w:val="20"/>
              </w:rPr>
            </w:pPr>
            <w:r w:rsidRPr="00202088">
              <w:rPr>
                <w:color w:val="002060"/>
                <w:sz w:val="20"/>
                <w:szCs w:val="20"/>
              </w:rPr>
              <w:t>El monitoreo continuo de estas fuentes permitirá optimizar su funcionamiento y asegurar su contribución a largo plazo al desarrollo del sector.</w:t>
            </w:r>
          </w:p>
        </w:tc>
      </w:tr>
      <w:tr w:rsidR="00202088" w:rsidRPr="00202088" w14:paraId="77F755AB" w14:textId="77777777" w:rsidTr="00E53CC3">
        <w:trPr>
          <w:trHeight w:val="900"/>
        </w:trPr>
        <w:tc>
          <w:tcPr>
            <w:tcW w:w="2972" w:type="dxa"/>
            <w:shd w:val="clear" w:color="auto" w:fill="F2F2F2" w:themeFill="background1" w:themeFillShade="F2"/>
          </w:tcPr>
          <w:p w14:paraId="49095369" w14:textId="14184223" w:rsidR="003B014D" w:rsidRPr="00202088" w:rsidRDefault="003B014D" w:rsidP="003B014D">
            <w:pPr>
              <w:spacing w:before="240" w:after="240" w:line="240" w:lineRule="auto"/>
              <w:jc w:val="both"/>
              <w:rPr>
                <w:color w:val="002060"/>
                <w:sz w:val="18"/>
                <w:szCs w:val="18"/>
              </w:rPr>
            </w:pPr>
            <w:r w:rsidRPr="00202088">
              <w:rPr>
                <w:color w:val="002060"/>
                <w:sz w:val="18"/>
                <w:szCs w:val="18"/>
              </w:rPr>
              <w:t>6.Reducir el gasto en transporte público de los hogares de mayor vulnerabilidad económica, con enfoque poblacional, diferencial y de género, para que represente el 15% de sus ingresos</w:t>
            </w:r>
          </w:p>
        </w:tc>
        <w:tc>
          <w:tcPr>
            <w:tcW w:w="1559" w:type="dxa"/>
            <w:shd w:val="clear" w:color="auto" w:fill="F2F2F2" w:themeFill="background1" w:themeFillShade="F2"/>
          </w:tcPr>
          <w:p w14:paraId="01ADEE25"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15%</w:t>
            </w:r>
          </w:p>
          <w:p w14:paraId="05D1B9FE" w14:textId="0895A21D" w:rsidR="003B014D" w:rsidRPr="00202088" w:rsidRDefault="003B014D" w:rsidP="003B014D">
            <w:pPr>
              <w:spacing w:before="240" w:after="240" w:line="240" w:lineRule="auto"/>
              <w:jc w:val="center"/>
              <w:rPr>
                <w:color w:val="002060"/>
                <w:sz w:val="18"/>
                <w:szCs w:val="18"/>
              </w:rPr>
            </w:pPr>
            <w:r w:rsidRPr="00202088">
              <w:rPr>
                <w:color w:val="002060"/>
                <w:sz w:val="18"/>
                <w:szCs w:val="18"/>
              </w:rPr>
              <w:t>15%</w:t>
            </w:r>
          </w:p>
        </w:tc>
        <w:tc>
          <w:tcPr>
            <w:tcW w:w="1134" w:type="dxa"/>
            <w:shd w:val="clear" w:color="auto" w:fill="F2F2F2" w:themeFill="background1" w:themeFillShade="F2"/>
          </w:tcPr>
          <w:p w14:paraId="6F78ED81"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23%</w:t>
            </w:r>
          </w:p>
          <w:p w14:paraId="59D8E664" w14:textId="0D3C5CD3" w:rsidR="003B014D" w:rsidRPr="00202088" w:rsidRDefault="003B014D" w:rsidP="003B014D">
            <w:pPr>
              <w:spacing w:before="240" w:after="240" w:line="240" w:lineRule="auto"/>
              <w:jc w:val="center"/>
              <w:rPr>
                <w:color w:val="002060"/>
                <w:sz w:val="18"/>
                <w:szCs w:val="18"/>
              </w:rPr>
            </w:pPr>
            <w:r w:rsidRPr="00202088">
              <w:rPr>
                <w:color w:val="002060"/>
                <w:sz w:val="18"/>
                <w:szCs w:val="18"/>
              </w:rPr>
              <w:t>28%</w:t>
            </w:r>
          </w:p>
        </w:tc>
        <w:tc>
          <w:tcPr>
            <w:tcW w:w="1560" w:type="dxa"/>
            <w:shd w:val="clear" w:color="auto" w:fill="F2F2F2" w:themeFill="background1" w:themeFillShade="F2"/>
          </w:tcPr>
          <w:p w14:paraId="710B6F1B" w14:textId="5FC1D5A7" w:rsidR="003B014D" w:rsidRPr="00202088" w:rsidRDefault="003B014D" w:rsidP="003B014D">
            <w:pPr>
              <w:spacing w:before="240" w:after="240" w:line="240" w:lineRule="auto"/>
              <w:jc w:val="center"/>
              <w:rPr>
                <w:color w:val="002060"/>
                <w:sz w:val="18"/>
                <w:szCs w:val="18"/>
              </w:rPr>
            </w:pPr>
            <w:r w:rsidRPr="00202088">
              <w:rPr>
                <w:color w:val="002060"/>
                <w:sz w:val="18"/>
                <w:szCs w:val="18"/>
              </w:rPr>
              <w:t>11.1%</w:t>
            </w:r>
          </w:p>
        </w:tc>
        <w:tc>
          <w:tcPr>
            <w:tcW w:w="6206" w:type="dxa"/>
            <w:shd w:val="clear" w:color="auto" w:fill="F2F2F2" w:themeFill="background1" w:themeFillShade="F2"/>
          </w:tcPr>
          <w:p w14:paraId="2A2E610E"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En lo corrido del plan de Desarrollo 2020- 2024, en relación con el cumplimiento de la meta de reducción del transporte público de los hogares de mayor vulnerabilidad económica, la Secretaría Distrital de Movilidad definió estrategias como el congelamiento de tarifas durante 2020, 2021 y 2022.</w:t>
            </w:r>
          </w:p>
          <w:p w14:paraId="504E1374"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Durante el primer trimestre del 2024, se expidió el Decreto Distrital 061 del 8 de febrero de 2024, mediante el cual se congeló la tarifa troncal para las poblaciones vulnerables.</w:t>
            </w:r>
          </w:p>
          <w:p w14:paraId="5E4D19E9"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 xml:space="preserve">Respecto a los resultados de la meta, la Encuesta de Movilidad 2023 muestra un aumento del indicador al 28% en el estrato 1 y una reducción al 23% en el estrato 2. Esta situación se debe principalmente a factores externos como la inflación, el </w:t>
            </w:r>
            <w:r w:rsidRPr="00202088">
              <w:rPr>
                <w:color w:val="002060"/>
                <w:sz w:val="18"/>
                <w:szCs w:val="18"/>
              </w:rPr>
              <w:lastRenderedPageBreak/>
              <w:t>desempleo y la crisis sanitaria, que afectaron negativamente la variable de ingresos.</w:t>
            </w:r>
          </w:p>
          <w:p w14:paraId="4EE7F881"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 xml:space="preserve">La inflación en 2021 fue la más alta en cinco años debido al aumento de precios de alimentos. En 2022, la variación de precios aumentó 13.12%, influenciada por la invasión </w:t>
            </w:r>
            <w:proofErr w:type="gramStart"/>
            <w:r w:rsidRPr="00202088">
              <w:rPr>
                <w:color w:val="002060"/>
                <w:sz w:val="18"/>
                <w:szCs w:val="18"/>
              </w:rPr>
              <w:t>Rusa</w:t>
            </w:r>
            <w:proofErr w:type="gramEnd"/>
            <w:r w:rsidRPr="00202088">
              <w:rPr>
                <w:color w:val="002060"/>
                <w:sz w:val="18"/>
                <w:szCs w:val="18"/>
              </w:rPr>
              <w:t xml:space="preserve"> a Ucrania y factores nacionales. Para 2023, la variación del IPC por encima del 8,7% se vincula con El Niño, el precio de la gasolina y el conflicto en Oriente Medio.</w:t>
            </w:r>
          </w:p>
          <w:p w14:paraId="3435462E" w14:textId="77777777" w:rsidR="003B014D" w:rsidRPr="00202088" w:rsidRDefault="003B014D" w:rsidP="00330B6F">
            <w:pPr>
              <w:widowControl w:val="0"/>
              <w:spacing w:after="0" w:line="240" w:lineRule="auto"/>
              <w:jc w:val="both"/>
              <w:rPr>
                <w:color w:val="002060"/>
                <w:sz w:val="18"/>
                <w:szCs w:val="18"/>
              </w:rPr>
            </w:pPr>
            <w:r w:rsidRPr="00202088">
              <w:rPr>
                <w:color w:val="002060"/>
                <w:sz w:val="18"/>
                <w:szCs w:val="18"/>
              </w:rPr>
              <w:t>El desempleo, que se mantuvo por encima del 10% en los últimos 3 años, también afectó directamente los ingresos de los hogares, y los eventos imprevistos como el COVID-19, intensificaron la presión económica. Además, el cambio en el comportamiento del viaje después de la pandemia, con medidas de confinamiento como el teletrabajo, disminuyó la movilidad en estratos medios y altos, en contraste con el aumento de viajes y uso de modos alternos de transporte privado en estratos bajos (principalmente motocicletas), contribuyeron a un aumento en los costos del transporte público.</w:t>
            </w:r>
          </w:p>
          <w:p w14:paraId="7AD219F7" w14:textId="77777777" w:rsidR="003B014D" w:rsidRPr="00202088" w:rsidRDefault="003B014D" w:rsidP="003B014D">
            <w:pPr>
              <w:widowControl w:val="0"/>
              <w:spacing w:after="0" w:line="240" w:lineRule="auto"/>
              <w:rPr>
                <w:color w:val="002060"/>
                <w:sz w:val="18"/>
                <w:szCs w:val="18"/>
              </w:rPr>
            </w:pPr>
            <w:r w:rsidRPr="00202088">
              <w:rPr>
                <w:color w:val="002060"/>
                <w:sz w:val="18"/>
                <w:szCs w:val="18"/>
              </w:rPr>
              <w:t>De acuerdo con los factores mencionados, se observa que la combinación de estos impacta especialmente a los hogares con menor capacidad de pago. La gestión de una política tarifaria para el transporte debe considerar la complejidad económica y social, integrando medidas no sólo operativas y tarifarias, sino también estrategias para abordar el desempleo, la inflación e imprevistos, que no dependen de la gestión de la Administración.</w:t>
            </w:r>
          </w:p>
          <w:p w14:paraId="5EB24469" w14:textId="77777777" w:rsidR="003B014D" w:rsidRPr="00202088" w:rsidRDefault="003B014D" w:rsidP="003B014D">
            <w:pPr>
              <w:widowControl w:val="0"/>
              <w:spacing w:after="0" w:line="240" w:lineRule="auto"/>
              <w:rPr>
                <w:color w:val="002060"/>
                <w:sz w:val="18"/>
                <w:szCs w:val="18"/>
              </w:rPr>
            </w:pPr>
          </w:p>
        </w:tc>
      </w:tr>
    </w:tbl>
    <w:p w14:paraId="65D56999" w14:textId="03B2A71A" w:rsidR="00464642" w:rsidRDefault="00464642"/>
    <w:p w14:paraId="77C135D5" w14:textId="4A3B1EB8" w:rsidR="00330B6F" w:rsidRDefault="00330B6F"/>
    <w:p w14:paraId="591659E0" w14:textId="77777777" w:rsidR="00330B6F" w:rsidRDefault="00330B6F"/>
    <w:p w14:paraId="36C6A743" w14:textId="17CE8930" w:rsidR="00202088" w:rsidRDefault="00202088"/>
    <w:tbl>
      <w:tblPr>
        <w:tblStyle w:val="Tablaconcuadrcula5oscura-nfasis5"/>
        <w:tblW w:w="13431" w:type="dxa"/>
        <w:shd w:val="clear" w:color="auto" w:fill="4274B0"/>
        <w:tblLayout w:type="fixed"/>
        <w:tblLook w:val="0600" w:firstRow="0" w:lastRow="0" w:firstColumn="0" w:lastColumn="0" w:noHBand="1" w:noVBand="1"/>
      </w:tblPr>
      <w:tblGrid>
        <w:gridCol w:w="13431"/>
      </w:tblGrid>
      <w:tr w:rsidR="00E53CC3" w:rsidRPr="00E53CC3" w14:paraId="1678F764" w14:textId="77777777" w:rsidTr="00E53CC3">
        <w:trPr>
          <w:trHeight w:val="420"/>
        </w:trPr>
        <w:tc>
          <w:tcPr>
            <w:tcW w:w="13431" w:type="dxa"/>
            <w:shd w:val="clear" w:color="auto" w:fill="4274B0"/>
          </w:tcPr>
          <w:p w14:paraId="0318B03A" w14:textId="4033D635" w:rsidR="00464642" w:rsidRPr="00E53CC3" w:rsidRDefault="00416049" w:rsidP="00202088">
            <w:pPr>
              <w:widowControl w:val="0"/>
              <w:pBdr>
                <w:top w:val="nil"/>
                <w:left w:val="nil"/>
                <w:bottom w:val="nil"/>
                <w:right w:val="nil"/>
                <w:between w:val="nil"/>
              </w:pBdr>
              <w:spacing w:after="0" w:line="240" w:lineRule="auto"/>
              <w:jc w:val="center"/>
              <w:rPr>
                <w:b/>
                <w:bCs/>
                <w:color w:val="FFFFFF" w:themeColor="background1"/>
              </w:rPr>
            </w:pPr>
            <w:r w:rsidRPr="00E53CC3">
              <w:rPr>
                <w:b/>
                <w:bCs/>
                <w:color w:val="FFFFFF" w:themeColor="background1"/>
              </w:rPr>
              <w:lastRenderedPageBreak/>
              <w:t>PROGRAMA 35: MANEJO Y PREVENCIÓN DE CONTAMINACIÓN</w:t>
            </w:r>
          </w:p>
          <w:p w14:paraId="652D5093" w14:textId="77777777" w:rsidR="00464642" w:rsidRPr="00E53CC3" w:rsidRDefault="00416049" w:rsidP="00202088">
            <w:pPr>
              <w:widowControl w:val="0"/>
              <w:pBdr>
                <w:top w:val="nil"/>
                <w:left w:val="nil"/>
                <w:bottom w:val="nil"/>
                <w:right w:val="nil"/>
                <w:between w:val="nil"/>
              </w:pBdr>
              <w:spacing w:after="0" w:line="240" w:lineRule="auto"/>
              <w:jc w:val="center"/>
              <w:rPr>
                <w:color w:val="FFFFFF" w:themeColor="background1"/>
                <w:sz w:val="18"/>
                <w:szCs w:val="18"/>
              </w:rPr>
            </w:pPr>
            <w:r w:rsidRPr="00E53CC3">
              <w:rPr>
                <w:b/>
                <w:bCs/>
                <w:color w:val="FFFFFF" w:themeColor="background1"/>
              </w:rPr>
              <w:t>Proyecto De Inversión 7583: Implementación Del Sistema De Transporte De Bajas Y Cero Emisiones Para Bogotá D.C</w:t>
            </w:r>
          </w:p>
        </w:tc>
      </w:tr>
    </w:tbl>
    <w:p w14:paraId="45CE0FC0" w14:textId="40B022CC" w:rsidR="00202088" w:rsidRPr="003B014D" w:rsidRDefault="00202088">
      <w:pPr>
        <w:widowControl w:val="0"/>
        <w:pBdr>
          <w:top w:val="nil"/>
          <w:left w:val="nil"/>
          <w:bottom w:val="nil"/>
          <w:right w:val="nil"/>
          <w:between w:val="nil"/>
        </w:pBdr>
        <w:spacing w:after="0" w:line="240" w:lineRule="auto"/>
        <w:ind w:left="113"/>
        <w:rPr>
          <w:sz w:val="18"/>
          <w:szCs w:val="18"/>
        </w:rPr>
      </w:pPr>
    </w:p>
    <w:tbl>
      <w:tblPr>
        <w:tblStyle w:val="Tablaconcuadrcula5oscura-nfasis5"/>
        <w:tblW w:w="13431" w:type="dxa"/>
        <w:tblLayout w:type="fixed"/>
        <w:tblLook w:val="0600" w:firstRow="0" w:lastRow="0" w:firstColumn="0" w:lastColumn="0" w:noHBand="1" w:noVBand="1"/>
      </w:tblPr>
      <w:tblGrid>
        <w:gridCol w:w="2565"/>
        <w:gridCol w:w="1875"/>
        <w:gridCol w:w="1275"/>
        <w:gridCol w:w="2235"/>
        <w:gridCol w:w="5481"/>
      </w:tblGrid>
      <w:tr w:rsidR="00202088" w:rsidRPr="00202088" w14:paraId="4DC2C73B" w14:textId="77777777" w:rsidTr="00202088">
        <w:trPr>
          <w:trHeight w:val="420"/>
          <w:tblHeader/>
        </w:trPr>
        <w:tc>
          <w:tcPr>
            <w:tcW w:w="2565" w:type="dxa"/>
          </w:tcPr>
          <w:p w14:paraId="39B77598" w14:textId="50DDE3C0" w:rsidR="00464642" w:rsidRPr="00202088" w:rsidRDefault="00416049">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Meta</w:t>
            </w:r>
          </w:p>
        </w:tc>
        <w:tc>
          <w:tcPr>
            <w:tcW w:w="1875" w:type="dxa"/>
          </w:tcPr>
          <w:p w14:paraId="4E271FE2" w14:textId="77777777" w:rsidR="00464642" w:rsidRPr="00202088" w:rsidRDefault="00416049">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Magnitud</w:t>
            </w:r>
          </w:p>
          <w:p w14:paraId="4DFF0EDF" w14:textId="77777777" w:rsidR="00464642" w:rsidRPr="00202088" w:rsidRDefault="00416049">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Programada</w:t>
            </w:r>
          </w:p>
        </w:tc>
        <w:tc>
          <w:tcPr>
            <w:tcW w:w="1275" w:type="dxa"/>
          </w:tcPr>
          <w:p w14:paraId="4CEA5ED2" w14:textId="77777777" w:rsidR="00464642" w:rsidRPr="00202088" w:rsidRDefault="00416049">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 xml:space="preserve">Magnitud </w:t>
            </w:r>
          </w:p>
          <w:p w14:paraId="56448803" w14:textId="77777777" w:rsidR="00464642" w:rsidRPr="00202088" w:rsidRDefault="00416049">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Ejecutada</w:t>
            </w:r>
          </w:p>
        </w:tc>
        <w:tc>
          <w:tcPr>
            <w:tcW w:w="2235" w:type="dxa"/>
          </w:tcPr>
          <w:p w14:paraId="1E22C03F" w14:textId="77777777" w:rsidR="00464642" w:rsidRPr="00202088" w:rsidRDefault="00416049">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 de Cumplimiento</w:t>
            </w:r>
          </w:p>
        </w:tc>
        <w:tc>
          <w:tcPr>
            <w:tcW w:w="5481" w:type="dxa"/>
          </w:tcPr>
          <w:p w14:paraId="3635EC9B" w14:textId="77777777" w:rsidR="00464642" w:rsidRPr="00202088" w:rsidRDefault="00416049">
            <w:pPr>
              <w:widowControl w:val="0"/>
              <w:pBdr>
                <w:top w:val="nil"/>
                <w:left w:val="nil"/>
                <w:bottom w:val="nil"/>
                <w:right w:val="nil"/>
                <w:between w:val="nil"/>
              </w:pBdr>
              <w:spacing w:after="0" w:line="240" w:lineRule="auto"/>
              <w:rPr>
                <w:b/>
                <w:bCs/>
                <w:color w:val="002060"/>
                <w:sz w:val="20"/>
                <w:szCs w:val="20"/>
              </w:rPr>
            </w:pPr>
            <w:r w:rsidRPr="00202088">
              <w:rPr>
                <w:b/>
                <w:bCs/>
                <w:color w:val="002060"/>
                <w:sz w:val="20"/>
                <w:szCs w:val="20"/>
              </w:rPr>
              <w:t>Logros, Avances y Dificultades</w:t>
            </w:r>
          </w:p>
        </w:tc>
      </w:tr>
      <w:tr w:rsidR="00202088" w:rsidRPr="00202088" w14:paraId="4F0C1987" w14:textId="77777777" w:rsidTr="00E53CC3">
        <w:trPr>
          <w:trHeight w:val="420"/>
        </w:trPr>
        <w:tc>
          <w:tcPr>
            <w:tcW w:w="2565" w:type="dxa"/>
            <w:shd w:val="clear" w:color="auto" w:fill="D9D9D9" w:themeFill="background1" w:themeFillShade="D9"/>
          </w:tcPr>
          <w:p w14:paraId="446202DE"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264.Aumentar en un 50% los viajes en bicicleta a través de la implementación de la política pública de la bicicleta</w:t>
            </w:r>
          </w:p>
        </w:tc>
        <w:tc>
          <w:tcPr>
            <w:tcW w:w="1875" w:type="dxa"/>
            <w:shd w:val="clear" w:color="auto" w:fill="D9D9D9" w:themeFill="background1" w:themeFillShade="D9"/>
          </w:tcPr>
          <w:p w14:paraId="7F14CFB8"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1.320.551</w:t>
            </w:r>
          </w:p>
        </w:tc>
        <w:tc>
          <w:tcPr>
            <w:tcW w:w="1275" w:type="dxa"/>
            <w:shd w:val="clear" w:color="auto" w:fill="D9D9D9" w:themeFill="background1" w:themeFillShade="D9"/>
          </w:tcPr>
          <w:p w14:paraId="5C71B436"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880.655</w:t>
            </w:r>
          </w:p>
        </w:tc>
        <w:tc>
          <w:tcPr>
            <w:tcW w:w="2235" w:type="dxa"/>
            <w:shd w:val="clear" w:color="auto" w:fill="D9D9D9" w:themeFill="background1" w:themeFillShade="D9"/>
          </w:tcPr>
          <w:p w14:paraId="111B6AE4"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67%</w:t>
            </w:r>
          </w:p>
        </w:tc>
        <w:tc>
          <w:tcPr>
            <w:tcW w:w="5481" w:type="dxa"/>
            <w:shd w:val="clear" w:color="auto" w:fill="D9D9D9" w:themeFill="background1" w:themeFillShade="D9"/>
          </w:tcPr>
          <w:p w14:paraId="63E05630"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Conforme con los resultados obtenidos en la Encuesta de Movilidad 2023, se determinó que en la ciudad se realizan cada día 886.655 viajes en bicicleta, lo que representa un incremento del 0,71% respecto de la medición realizada en la Encuesta de Movilidad 2019. Si bien el aumento de los viajes diarios en bicicleta no logró la meta esperada, es importante resaltar que la cifra se mantuvo, </w:t>
            </w:r>
            <w:proofErr w:type="spellStart"/>
            <w:r w:rsidRPr="00202088">
              <w:rPr>
                <w:color w:val="002060"/>
                <w:sz w:val="20"/>
                <w:szCs w:val="20"/>
              </w:rPr>
              <w:t>aún</w:t>
            </w:r>
            <w:proofErr w:type="spellEnd"/>
            <w:r w:rsidRPr="00202088">
              <w:rPr>
                <w:color w:val="002060"/>
                <w:sz w:val="20"/>
                <w:szCs w:val="20"/>
              </w:rPr>
              <w:t xml:space="preserve"> cuando la Encuesta de Movilidad 2023 evidencia una considerable reducción del número de viajes que se realizan a diario en la ciudad, en los diferentes tipos de transporte.</w:t>
            </w:r>
          </w:p>
          <w:p w14:paraId="30575378"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2129E8E1"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El avance general del cuatrienio de los objetivos específicos de la política pública de la bicicleta, es el siguiente:</w:t>
            </w:r>
          </w:p>
          <w:p w14:paraId="5FD7C1C0"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Más seguridad personal: </w:t>
            </w:r>
          </w:p>
          <w:p w14:paraId="7330BD8F"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Bicicletas registradas acumulado 325.773 Aproximadamente (01/07/2020 al 31/05/2024). Fecha de consulta 31/05/2024</w:t>
            </w:r>
          </w:p>
          <w:p w14:paraId="2FE51CD9"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03907B17"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Mayor seguridad vial:</w:t>
            </w:r>
          </w:p>
          <w:p w14:paraId="58CED50E"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Desarrollo de acciones pedagógicas de seguridad vial</w:t>
            </w:r>
          </w:p>
          <w:p w14:paraId="11D060AA"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021926CA"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Más y mejores viajes en bicicleta: </w:t>
            </w:r>
          </w:p>
          <w:p w14:paraId="19F1BC5F"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Construcción de los Documentos Técnicos de Soporte para el mantenimiento y la implementación de ciclorruta</w:t>
            </w:r>
          </w:p>
          <w:p w14:paraId="69D449B3"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Se avanzó en la etapa de prefactibilidad del proyecto Bloomberg mediante la toma de información.</w:t>
            </w:r>
          </w:p>
          <w:p w14:paraId="101C49EC"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Se avanzó en la elaboración de la metodología para la </w:t>
            </w:r>
            <w:r w:rsidRPr="00202088">
              <w:rPr>
                <w:color w:val="002060"/>
                <w:sz w:val="20"/>
                <w:szCs w:val="20"/>
              </w:rPr>
              <w:lastRenderedPageBreak/>
              <w:t xml:space="preserve">priorización de intervenciones de </w:t>
            </w:r>
            <w:proofErr w:type="spellStart"/>
            <w:r w:rsidRPr="00202088">
              <w:rPr>
                <w:color w:val="002060"/>
                <w:sz w:val="20"/>
                <w:szCs w:val="20"/>
              </w:rPr>
              <w:t>cicloinfraestructura</w:t>
            </w:r>
            <w:proofErr w:type="spellEnd"/>
            <w:r w:rsidRPr="00202088">
              <w:rPr>
                <w:color w:val="002060"/>
                <w:sz w:val="20"/>
                <w:szCs w:val="20"/>
              </w:rPr>
              <w:t xml:space="preserve"> para próximas vigencias</w:t>
            </w:r>
          </w:p>
          <w:p w14:paraId="284C99CF"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1DB56115"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Más bici para todas y todos: Actividades de promoción del uso de la bicicleta: </w:t>
            </w:r>
          </w:p>
          <w:p w14:paraId="525A3606" w14:textId="395F60C8"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i) Espacios de dialogo con los consejeros y consejeras locales relacionados con el Sistema de Bicicletas Compartidas, mapas bici Bogotá, seguridad vial con Transmilenio, ORVI, ofertas y servicios </w:t>
            </w:r>
            <w:r w:rsidR="00330B6F" w:rsidRPr="00202088">
              <w:rPr>
                <w:color w:val="002060"/>
                <w:sz w:val="20"/>
                <w:szCs w:val="20"/>
              </w:rPr>
              <w:t>institucionales,</w:t>
            </w:r>
            <w:r w:rsidRPr="00202088">
              <w:rPr>
                <w:color w:val="002060"/>
                <w:sz w:val="20"/>
                <w:szCs w:val="20"/>
              </w:rPr>
              <w:t xml:space="preserve"> mesas </w:t>
            </w:r>
            <w:proofErr w:type="spellStart"/>
            <w:r w:rsidRPr="00202088">
              <w:rPr>
                <w:color w:val="002060"/>
                <w:sz w:val="20"/>
                <w:szCs w:val="20"/>
              </w:rPr>
              <w:t>interlocales</w:t>
            </w:r>
            <w:proofErr w:type="spellEnd"/>
            <w:r w:rsidRPr="00202088">
              <w:rPr>
                <w:color w:val="002060"/>
                <w:sz w:val="20"/>
                <w:szCs w:val="20"/>
              </w:rPr>
              <w:t xml:space="preserve"> para la socialización de proyectos de </w:t>
            </w:r>
            <w:proofErr w:type="spellStart"/>
            <w:r w:rsidRPr="00202088">
              <w:rPr>
                <w:color w:val="002060"/>
                <w:sz w:val="20"/>
                <w:szCs w:val="20"/>
              </w:rPr>
              <w:t>cicloinfraestructura</w:t>
            </w:r>
            <w:proofErr w:type="spellEnd"/>
            <w:r w:rsidRPr="00202088">
              <w:rPr>
                <w:color w:val="002060"/>
                <w:sz w:val="20"/>
                <w:szCs w:val="20"/>
              </w:rPr>
              <w:t xml:space="preserve"> y se inició la ruta de fortalecimiento a instancias de participación.</w:t>
            </w:r>
          </w:p>
          <w:p w14:paraId="69D76463"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ii</w:t>
            </w:r>
            <w:proofErr w:type="spellEnd"/>
            <w:r w:rsidRPr="00202088">
              <w:rPr>
                <w:color w:val="002060"/>
                <w:sz w:val="20"/>
                <w:szCs w:val="20"/>
              </w:rPr>
              <w:t>) Acompañamiento en el desarrollo de los consejos locales de la bicicleta, y apoyo en la difusión y socialización del nuevo proceso de elecciones de consejos locales de la bici para el periodo 2024-2027.</w:t>
            </w:r>
          </w:p>
          <w:p w14:paraId="07330C80"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iii</w:t>
            </w:r>
            <w:proofErr w:type="spellEnd"/>
            <w:r w:rsidRPr="00202088">
              <w:rPr>
                <w:color w:val="002060"/>
                <w:sz w:val="20"/>
                <w:szCs w:val="20"/>
              </w:rPr>
              <w:t xml:space="preserve">) Propuesta de sensibilización con enfoque de género, paridad por parte de la </w:t>
            </w:r>
            <w:proofErr w:type="gramStart"/>
            <w:r w:rsidRPr="00202088">
              <w:rPr>
                <w:color w:val="002060"/>
                <w:sz w:val="20"/>
                <w:szCs w:val="20"/>
              </w:rPr>
              <w:t>Secretaria</w:t>
            </w:r>
            <w:proofErr w:type="gramEnd"/>
            <w:r w:rsidRPr="00202088">
              <w:rPr>
                <w:color w:val="002060"/>
                <w:sz w:val="20"/>
                <w:szCs w:val="20"/>
              </w:rPr>
              <w:t xml:space="preserve"> de la Mujer para el Consejo distrital de la bicicleta, se dictó el módulo Conceptos básicos de género y derechos de las mujeres</w:t>
            </w:r>
          </w:p>
          <w:p w14:paraId="4C733881"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iv</w:t>
            </w:r>
            <w:proofErr w:type="spellEnd"/>
            <w:r w:rsidRPr="00202088">
              <w:rPr>
                <w:color w:val="002060"/>
                <w:sz w:val="20"/>
                <w:szCs w:val="20"/>
              </w:rPr>
              <w:t>) Identificación de espacios para la resignificación del espacio público con enfoque de género.</w:t>
            </w:r>
          </w:p>
          <w:p w14:paraId="7B4B9AEE"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v) Convenio 2022-1586 SDM-SDCRD, inicialmente se dieron 9 becas y se realizó una adición y prórroga, en la cual se seleccionaron 4 ganadores de la BECA edición 2023.</w:t>
            </w:r>
          </w:p>
          <w:p w14:paraId="1E839626"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vi) Firma del decreto 480 de 2022, Por medio del cual se crea la Comisión intersectorial de la Bicicleta del Distrito Capital, Se han realizado sesiones trimestrales.</w:t>
            </w:r>
          </w:p>
          <w:p w14:paraId="3923E2AF"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vii</w:t>
            </w:r>
            <w:proofErr w:type="spellEnd"/>
            <w:r w:rsidRPr="00202088">
              <w:rPr>
                <w:color w:val="002060"/>
                <w:sz w:val="20"/>
                <w:szCs w:val="20"/>
              </w:rPr>
              <w:t>) Celebración de la semana de la Bicicleta en forma anual</w:t>
            </w:r>
          </w:p>
          <w:p w14:paraId="30BC13DD"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t>viii</w:t>
            </w:r>
            <w:proofErr w:type="spellEnd"/>
            <w:r w:rsidRPr="00202088">
              <w:rPr>
                <w:color w:val="002060"/>
                <w:sz w:val="20"/>
                <w:szCs w:val="20"/>
              </w:rPr>
              <w:t>) Se realizaron jornadas de dialogo ciclista con participación ciudadana</w:t>
            </w:r>
          </w:p>
          <w:p w14:paraId="3A52D948"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proofErr w:type="spellStart"/>
            <w:r w:rsidRPr="00202088">
              <w:rPr>
                <w:color w:val="002060"/>
                <w:sz w:val="20"/>
                <w:szCs w:val="20"/>
              </w:rPr>
              <w:lastRenderedPageBreak/>
              <w:t>ix</w:t>
            </w:r>
            <w:proofErr w:type="spellEnd"/>
            <w:r w:rsidRPr="00202088">
              <w:rPr>
                <w:color w:val="002060"/>
                <w:sz w:val="20"/>
                <w:szCs w:val="20"/>
              </w:rPr>
              <w:t>) Acompañamiento a los talleres de creación de Plan Especial de Salvaguardias. Se realizó apoyo en la construcción del plan estratégico para el seguimiento del Plan especial de salvaguardia y la consolidación del mecanismo de gestión</w:t>
            </w:r>
          </w:p>
          <w:p w14:paraId="17666A63"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r>
      <w:tr w:rsidR="00202088" w:rsidRPr="00202088" w14:paraId="38B8457C" w14:textId="77777777" w:rsidTr="003B014D">
        <w:trPr>
          <w:trHeight w:val="420"/>
        </w:trPr>
        <w:tc>
          <w:tcPr>
            <w:tcW w:w="2565" w:type="dxa"/>
          </w:tcPr>
          <w:p w14:paraId="1E3C2769"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lastRenderedPageBreak/>
              <w:t>265.Generar las condiciones para aumentar a 6.500 los vehículos de cero y bajas emisiones en el parque automotor de Bogotá, incluyendo la implementación de 20 puntos públicos de carga rápida</w:t>
            </w:r>
          </w:p>
        </w:tc>
        <w:tc>
          <w:tcPr>
            <w:tcW w:w="1875" w:type="dxa"/>
          </w:tcPr>
          <w:p w14:paraId="04C0B90C"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10.420</w:t>
            </w:r>
          </w:p>
        </w:tc>
        <w:tc>
          <w:tcPr>
            <w:tcW w:w="1275" w:type="dxa"/>
          </w:tcPr>
          <w:p w14:paraId="7087A2ED"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10.495</w:t>
            </w:r>
          </w:p>
        </w:tc>
        <w:tc>
          <w:tcPr>
            <w:tcW w:w="2235" w:type="dxa"/>
          </w:tcPr>
          <w:p w14:paraId="1E824653"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100,8%</w:t>
            </w:r>
          </w:p>
        </w:tc>
        <w:tc>
          <w:tcPr>
            <w:tcW w:w="5481" w:type="dxa"/>
          </w:tcPr>
          <w:p w14:paraId="06D0AB1C"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En cumplimiento de la meta del Plan Distrital de Desarrollo (PDD) se logró el aumento el número de vehículos de cero y bajas emisiones con un resultado al 31 de mayo de 2024, de 10.492 vehículos de cero y bajas emisiones registrados, 8.071 de éstos son vehículos eléctricos y 2.421 vehículos dedicados a gas natural vehicular, lo anterior gracias a la creación de nuevos incentivos para la promoción de vehículos eléctricos, entre los que se destacan: puntaje adicional en licitaciones, desarrollo de infraestructura de recarga, descuentos en el impuesto vehicular (Acuerdo 780 de 2020), acceso sin costo a los taxis eléctricos en la terminal de transporte, parqueaderos preferenciales para vehículos eléctricos y primera hora gratuita para vehículos eléctricos en las zonas de parqueo pago. Adicionalmente, se adoptó la Política Pública de Movilidad Motorizada de Cero y Bajas Emisiones, mediante CONPES D.C. No. 30 de 2023</w:t>
            </w:r>
          </w:p>
          <w:p w14:paraId="0E40F331"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6CBE641B"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En cuanto al indicador relacionado a la implementación de los puntos públicos de carga rápida, se implementaron los 20 programados para dar cumplimiento a la meta. Lo anterior se logró mediante la suscripción del contrato interadministrativo 2023-2687 entre la Secretaría Distrital de Movilidad y la Operadora Distrital de Transporte S.A.S., el cual tiene por objeto la “ADMINISTRACIÓN, MANTENIMIENTO Y APROVECHAMIENTO ECONÓMICO DE ESPACIOS PARA DESARROLLAR LA ACTIVIDAD DE RECARGA DE VEHÍCULOS ELÉCTRICOS, SUJETO A SU </w:t>
            </w:r>
            <w:r w:rsidRPr="00202088">
              <w:rPr>
                <w:color w:val="002060"/>
                <w:sz w:val="20"/>
                <w:szCs w:val="20"/>
              </w:rPr>
              <w:lastRenderedPageBreak/>
              <w:t xml:space="preserve">PRESERVACIÓN, BUEN USO, DISFRUTE COLECTIVO Y SOSTENIBILIDAD". </w:t>
            </w:r>
          </w:p>
          <w:p w14:paraId="5F1360AF"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Adicionalmente, se generó el marco legal (Resolución 218 de 2021 expedida por el Departamento Administrativo de la Defensoría del Espacio Público (DADEP); mediante la cual se creó la actividad de recarga de vehículos eléctricos en el espacio público y se incluyeron los artículos 212 y 213 del Decreto Distrital 555 de 2021, por medio del cual se adoptó el Plan de Ordenamiento Territorial, los cuales habilitan la instalación de cargadores en el espacio público y bienes fiscales).</w:t>
            </w:r>
          </w:p>
          <w:p w14:paraId="0571039A"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p w14:paraId="5BA3DF3E"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r>
      <w:tr w:rsidR="00202088" w:rsidRPr="00202088" w14:paraId="7D391079" w14:textId="77777777" w:rsidTr="00E53CC3">
        <w:trPr>
          <w:trHeight w:val="420"/>
        </w:trPr>
        <w:tc>
          <w:tcPr>
            <w:tcW w:w="2565" w:type="dxa"/>
            <w:shd w:val="clear" w:color="auto" w:fill="D9D9D9" w:themeFill="background1" w:themeFillShade="D9"/>
          </w:tcPr>
          <w:p w14:paraId="104E7879"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lastRenderedPageBreak/>
              <w:t>266.Gestionar la implementación de un sistema de bicicletas públicas</w:t>
            </w:r>
          </w:p>
        </w:tc>
        <w:tc>
          <w:tcPr>
            <w:tcW w:w="1875" w:type="dxa"/>
            <w:shd w:val="clear" w:color="auto" w:fill="D9D9D9" w:themeFill="background1" w:themeFillShade="D9"/>
          </w:tcPr>
          <w:p w14:paraId="2D7065F1"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2%</w:t>
            </w:r>
          </w:p>
        </w:tc>
        <w:tc>
          <w:tcPr>
            <w:tcW w:w="1275" w:type="dxa"/>
            <w:shd w:val="clear" w:color="auto" w:fill="D9D9D9" w:themeFill="background1" w:themeFillShade="D9"/>
          </w:tcPr>
          <w:p w14:paraId="4C0399EE"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2%</w:t>
            </w:r>
          </w:p>
        </w:tc>
        <w:tc>
          <w:tcPr>
            <w:tcW w:w="2235" w:type="dxa"/>
            <w:shd w:val="clear" w:color="auto" w:fill="D9D9D9" w:themeFill="background1" w:themeFillShade="D9"/>
          </w:tcPr>
          <w:p w14:paraId="41350EF6"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100%</w:t>
            </w:r>
          </w:p>
        </w:tc>
        <w:tc>
          <w:tcPr>
            <w:tcW w:w="5481" w:type="dxa"/>
            <w:shd w:val="clear" w:color="auto" w:fill="D9D9D9" w:themeFill="background1" w:themeFillShade="D9"/>
          </w:tcPr>
          <w:p w14:paraId="2B8BC27E"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Durante lo corrido del PDD la SDM implementó e inició la operación de un sistema de bicicleta compartida en la ciudad, a través del contrato de aprovechamiento del espacio público CAMEP 202263 </w:t>
            </w:r>
          </w:p>
          <w:p w14:paraId="2BB12E6C"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p w14:paraId="474EA61F"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El Sistema de Bicicletas Compartidas es un servicio para la ciudadanía, dispuesto como medio de transporte, ideal para los viajes de ‘último kilómetro’, debido a su fácil integración con otros modos. Opera en seis localidades de Bogotá, desde la calle 6 hasta la calle 127 entre la carrera 7 y Autonorte, hasta la av. NQS con av. de Las Américas y por la calle 7 hasta la carrera </w:t>
            </w:r>
            <w:proofErr w:type="gramStart"/>
            <w:r w:rsidRPr="00202088">
              <w:rPr>
                <w:color w:val="002060"/>
                <w:sz w:val="20"/>
                <w:szCs w:val="20"/>
              </w:rPr>
              <w:t>3;  para</w:t>
            </w:r>
            <w:proofErr w:type="gramEnd"/>
            <w:r w:rsidRPr="00202088">
              <w:rPr>
                <w:color w:val="002060"/>
                <w:sz w:val="20"/>
                <w:szCs w:val="20"/>
              </w:rPr>
              <w:t xml:space="preserve"> que la ciudadanía se mueva  de forma sostenible. Entre sus beneficios se destacan el ahorro de tiempo, la comodidad para los viajeros, la mitigación de la congestión del tráfico, la promoción de estilos de vida más saludables, la reducción de contaminación del aire y del ruido, entre otros. </w:t>
            </w:r>
          </w:p>
          <w:p w14:paraId="2F47D8A4"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Además, nuestro Sistema de Bicicletas Compartidas fue concebido bajo un enfoque de género, con 150 sillas integradas </w:t>
            </w:r>
            <w:r w:rsidRPr="00202088">
              <w:rPr>
                <w:color w:val="002060"/>
                <w:sz w:val="20"/>
                <w:szCs w:val="20"/>
              </w:rPr>
              <w:lastRenderedPageBreak/>
              <w:t>para transportar niñas y niños.</w:t>
            </w:r>
          </w:p>
          <w:p w14:paraId="724EDC33"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p w14:paraId="56627B73"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En la vigencia 2023 se inició la fase de la operación total, operando con 296 estaciones, 1500 bicicletas mecánicas, 1500 bicicletas de pedaleo asistido, 150 </w:t>
            </w:r>
            <w:proofErr w:type="spellStart"/>
            <w:r w:rsidRPr="00202088">
              <w:rPr>
                <w:color w:val="002060"/>
                <w:sz w:val="20"/>
                <w:szCs w:val="20"/>
              </w:rPr>
              <w:t>manocletas</w:t>
            </w:r>
            <w:proofErr w:type="spellEnd"/>
            <w:r w:rsidRPr="00202088">
              <w:rPr>
                <w:color w:val="002060"/>
                <w:sz w:val="20"/>
                <w:szCs w:val="20"/>
              </w:rPr>
              <w:t xml:space="preserve">, 150 bicicletas de cajón, 150 sillas para niños. Durante el 2024 el sistema implementó una estación adicional para un total de 297. Así mismo, se instalaron 300 </w:t>
            </w:r>
            <w:proofErr w:type="spellStart"/>
            <w:r w:rsidRPr="00202088">
              <w:rPr>
                <w:color w:val="002060"/>
                <w:sz w:val="20"/>
                <w:szCs w:val="20"/>
              </w:rPr>
              <w:t>ciclotalleres</w:t>
            </w:r>
            <w:proofErr w:type="spellEnd"/>
            <w:r w:rsidRPr="00202088">
              <w:rPr>
                <w:color w:val="002060"/>
                <w:sz w:val="20"/>
                <w:szCs w:val="20"/>
              </w:rPr>
              <w:t xml:space="preserve"> y 1228 (30/05/2024) </w:t>
            </w:r>
            <w:proofErr w:type="spellStart"/>
            <w:r w:rsidRPr="00202088">
              <w:rPr>
                <w:color w:val="002060"/>
                <w:sz w:val="20"/>
                <w:szCs w:val="20"/>
              </w:rPr>
              <w:t>cicloparqueaderos</w:t>
            </w:r>
            <w:proofErr w:type="spellEnd"/>
            <w:r w:rsidRPr="00202088">
              <w:rPr>
                <w:color w:val="002060"/>
                <w:sz w:val="20"/>
                <w:szCs w:val="20"/>
              </w:rPr>
              <w:t xml:space="preserve"> del sistema de bicicletas compartidas.</w:t>
            </w:r>
          </w:p>
          <w:p w14:paraId="1B26CC69"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p w14:paraId="3A7CA59F"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Los principales logros alcanzados para esta iniciativa en su primer año de funcionamiento son:</w:t>
            </w:r>
          </w:p>
          <w:p w14:paraId="5AEA978E"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p w14:paraId="74C517C5"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Inicio de operación del sistema después de 10 años de distintos procesos de contratación.</w:t>
            </w:r>
          </w:p>
          <w:p w14:paraId="482DE411"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En su primer año de operación: 1.432.373 viajes corte 31 de octubre. </w:t>
            </w:r>
          </w:p>
          <w:p w14:paraId="239331A0"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Más de 93.000 usuarios activos. 4.319 viajes diarios (Hora de más viajes 5:00 p.m.)</w:t>
            </w:r>
          </w:p>
          <w:p w14:paraId="60E38B9C"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3.8 millones de kilómetros recorridos y 93.000 usuarios han hecho uso del sistema.</w:t>
            </w:r>
          </w:p>
          <w:p w14:paraId="146FBA43"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Bajo hurto, solo se registran 9 (0.3%) bicicletas en su primer año de funcionamiento.</w:t>
            </w:r>
          </w:p>
          <w:p w14:paraId="1D4966F9"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Es un referente a nivel nacional e internacional, ha logrado tener más viajes que otras ciudades con sistemas similares en </w:t>
            </w:r>
            <w:proofErr w:type="spellStart"/>
            <w:r w:rsidRPr="00202088">
              <w:rPr>
                <w:color w:val="002060"/>
                <w:sz w:val="20"/>
                <w:szCs w:val="20"/>
              </w:rPr>
              <w:t>latinoamérica</w:t>
            </w:r>
            <w:proofErr w:type="spellEnd"/>
            <w:r w:rsidRPr="00202088">
              <w:rPr>
                <w:color w:val="002060"/>
                <w:sz w:val="20"/>
                <w:szCs w:val="20"/>
              </w:rPr>
              <w:t xml:space="preserve"> como Sao Paulo en Brasil.</w:t>
            </w:r>
          </w:p>
          <w:p w14:paraId="24000EA3"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60% de los </w:t>
            </w:r>
            <w:proofErr w:type="gramStart"/>
            <w:r w:rsidRPr="00202088">
              <w:rPr>
                <w:color w:val="002060"/>
                <w:sz w:val="20"/>
                <w:szCs w:val="20"/>
              </w:rPr>
              <w:t>viajes  se</w:t>
            </w:r>
            <w:proofErr w:type="gramEnd"/>
            <w:r w:rsidRPr="00202088">
              <w:rPr>
                <w:color w:val="002060"/>
                <w:sz w:val="20"/>
                <w:szCs w:val="20"/>
              </w:rPr>
              <w:t xml:space="preserve"> realizan a través de las bicicletas de pedaleo asistido</w:t>
            </w:r>
          </w:p>
          <w:p w14:paraId="313E5530"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Los usuarios que más utilizan el SBC rango </w:t>
            </w:r>
            <w:proofErr w:type="gramStart"/>
            <w:r w:rsidRPr="00202088">
              <w:rPr>
                <w:color w:val="002060"/>
                <w:sz w:val="20"/>
                <w:szCs w:val="20"/>
              </w:rPr>
              <w:t>de  edad</w:t>
            </w:r>
            <w:proofErr w:type="gramEnd"/>
            <w:r w:rsidRPr="00202088">
              <w:rPr>
                <w:color w:val="002060"/>
                <w:sz w:val="20"/>
                <w:szCs w:val="20"/>
              </w:rPr>
              <w:t xml:space="preserve"> entre los 28 y 55 años. </w:t>
            </w:r>
          </w:p>
          <w:p w14:paraId="3F56E156"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lastRenderedPageBreak/>
              <w:t>* 32 % de las personas que lo usan son mujeres y el 68% hombres con un tiempo promedio de viaje de 21 minutos.</w:t>
            </w:r>
          </w:p>
          <w:p w14:paraId="030F845A"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p w14:paraId="05551796"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A continuación, se presentan a corte 31 de mayo de 2024 las siguientes cifras de uso del sistema:</w:t>
            </w:r>
          </w:p>
          <w:p w14:paraId="2C769363"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Viajes acumulados: 2.406.000 aprox. </w:t>
            </w:r>
          </w:p>
          <w:p w14:paraId="5C0108C8" w14:textId="7632FB7A"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Promedio viajes por día entre semana: 6.000 </w:t>
            </w:r>
            <w:proofErr w:type="spellStart"/>
            <w:r w:rsidRPr="00202088">
              <w:rPr>
                <w:color w:val="002060"/>
                <w:sz w:val="20"/>
                <w:szCs w:val="20"/>
              </w:rPr>
              <w:t>aprox</w:t>
            </w:r>
            <w:proofErr w:type="spellEnd"/>
          </w:p>
          <w:p w14:paraId="2EBACAB8"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Viajes por bicicleta día: 2,6</w:t>
            </w:r>
          </w:p>
          <w:p w14:paraId="4EFFBFC5"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Distancia media recorrida: 2km</w:t>
            </w:r>
          </w:p>
          <w:p w14:paraId="446CDAFB"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Tiempo promedio: 16 min</w:t>
            </w:r>
          </w:p>
          <w:p w14:paraId="1F19B709"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Mujeres que usan el sistema: 25%</w:t>
            </w:r>
          </w:p>
          <w:p w14:paraId="388FA4AB"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Usuarios registrados: 127.000 </w:t>
            </w:r>
            <w:proofErr w:type="spellStart"/>
            <w:r w:rsidRPr="00202088">
              <w:rPr>
                <w:color w:val="002060"/>
                <w:sz w:val="20"/>
                <w:szCs w:val="20"/>
              </w:rPr>
              <w:t>aprox</w:t>
            </w:r>
            <w:proofErr w:type="spellEnd"/>
          </w:p>
          <w:p w14:paraId="79AD0A23"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Los usuarios que han utilizado el sistema están en el rango de edades entre 18 y 75 años, siendo el grupo entre 29 y 38 años el más frecuente</w:t>
            </w:r>
          </w:p>
          <w:p w14:paraId="7E6ACEA2"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El 56% de los viajes totales se han realizado en bicicletas de pedaleo asistido y el 44% en bicicletas mecánicas</w:t>
            </w:r>
          </w:p>
          <w:p w14:paraId="628608AC"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p w14:paraId="4B079702"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tc>
      </w:tr>
      <w:tr w:rsidR="00202088" w:rsidRPr="00202088" w14:paraId="748669A1" w14:textId="77777777" w:rsidTr="003B014D">
        <w:trPr>
          <w:trHeight w:val="420"/>
        </w:trPr>
        <w:tc>
          <w:tcPr>
            <w:tcW w:w="2565" w:type="dxa"/>
          </w:tcPr>
          <w:p w14:paraId="1139EF9D"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lastRenderedPageBreak/>
              <w:t xml:space="preserve">267.Impulsar un esquema de transporte alternativo y ambientalmente sostenible mediante el fomento de la micromovilidad a través del uso de patinetas y bicicletas eléctricas como un medio de transporte que usa adecuadamente el espacio público y facilita la interconexión con el sistema </w:t>
            </w:r>
            <w:r w:rsidRPr="00202088">
              <w:rPr>
                <w:color w:val="002060"/>
                <w:sz w:val="20"/>
                <w:szCs w:val="20"/>
              </w:rPr>
              <w:lastRenderedPageBreak/>
              <w:t>masivo de servicio público%</w:t>
            </w:r>
          </w:p>
        </w:tc>
        <w:tc>
          <w:tcPr>
            <w:tcW w:w="1875" w:type="dxa"/>
          </w:tcPr>
          <w:p w14:paraId="76AA2509"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c>
          <w:tcPr>
            <w:tcW w:w="1275" w:type="dxa"/>
          </w:tcPr>
          <w:p w14:paraId="785BC3A6"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c>
          <w:tcPr>
            <w:tcW w:w="2235" w:type="dxa"/>
          </w:tcPr>
          <w:p w14:paraId="736DC165"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c>
          <w:tcPr>
            <w:tcW w:w="5481" w:type="dxa"/>
          </w:tcPr>
          <w:p w14:paraId="54A136E7"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La Secretaría Distrital de Movilidad lideró la implementación de nuevas alternativas de movilización para la ciudadanía, y es por ello que estableció un esquema de transporte alternativo y ambientalmente sostenible, a través del cual las empresas interesadas pueden acceder a un permiso de uso y aprovechamiento del espacio público para la actividad de alquiler de vehículos de micromovilidad, y así la ciudadanía puede acceder a estos servicios que les brindan una alternativa de movilidad ambientalmente sostenible.</w:t>
            </w:r>
          </w:p>
          <w:p w14:paraId="47C41575"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p w14:paraId="487805AA"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A </w:t>
            </w:r>
            <w:proofErr w:type="gramStart"/>
            <w:r w:rsidRPr="00202088">
              <w:rPr>
                <w:color w:val="002060"/>
                <w:sz w:val="20"/>
                <w:szCs w:val="20"/>
              </w:rPr>
              <w:t>continuación</w:t>
            </w:r>
            <w:proofErr w:type="gramEnd"/>
            <w:r w:rsidRPr="00202088">
              <w:rPr>
                <w:color w:val="002060"/>
                <w:sz w:val="20"/>
                <w:szCs w:val="20"/>
              </w:rPr>
              <w:t xml:space="preserve"> se presentan las actividades realizadas por la SDM </w:t>
            </w:r>
            <w:r w:rsidRPr="00202088">
              <w:rPr>
                <w:color w:val="002060"/>
                <w:sz w:val="20"/>
                <w:szCs w:val="20"/>
              </w:rPr>
              <w:lastRenderedPageBreak/>
              <w:t>para el cumplimiento de esta meta:</w:t>
            </w:r>
          </w:p>
          <w:p w14:paraId="3F7E34A2"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Construcción y publicación del protocolo de la actividad -Alquiler de vehículos de micromovilidad- mediante la Resolución No. 86572.</w:t>
            </w:r>
          </w:p>
          <w:p w14:paraId="67B5F793"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Expedición de la regulación de provisión de servicio de la actividad de micromovilidad mediante la resolución No. 93495.</w:t>
            </w:r>
          </w:p>
          <w:p w14:paraId="4AE7C29B"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Se gestionó con Secretaría de Ambiente la expedición de la resolución No. 03815 de 2021, en lo relacionado a la instalación de elementos de publicidad exterior visual en los vehículos de movilidad individual en Bogotá D.C</w:t>
            </w:r>
          </w:p>
          <w:p w14:paraId="382185FB"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Aprobación del Acuerdo 811 de 2021 que: 1. Permite la Publicidad Exterior Visual en vehículos de micromovilidad y 2. Permite a la Administración Distrital regular la provisión del servicio ante el Concejo Distrital.</w:t>
            </w:r>
          </w:p>
          <w:p w14:paraId="791DC792"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Expedición de la Circular 13 de 2020, Circular 11 de 2021 y Resolución 205885 de 2022, relacionadas con los lineamientos y condiciones para la actividad de alquiler de vehículos de micromovilidad</w:t>
            </w:r>
          </w:p>
          <w:p w14:paraId="067E20A2"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Construcción del procedimiento interno para otorgar permisos de micromovilidad </w:t>
            </w:r>
          </w:p>
          <w:p w14:paraId="2FB68C3E"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-En la vigencia 2022 fue expedido el Documento Técnico de Soporte para Autorizar la Actividad de Alquiler de Vehículos de Micromovilidad en el Espacio Público de la Ciudad de Bogotá D.C. bajo el esquema de permisos de aprovechamiento económico del espacio público, mediante el cual se definen zonas y condiciones de operación para autorizar el alquiler de vehículos de micromovilidad mediante permisos. </w:t>
            </w:r>
          </w:p>
          <w:p w14:paraId="092EF281"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Se finalizo el permiso de alquiler de patinetas de las empresas GRIN COLOMBIA SAS y OTESTRA SAS el 28 de diciembre de 2022 y el 2 de abril de 2023, respectivamente</w:t>
            </w:r>
          </w:p>
          <w:p w14:paraId="6919F961"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lastRenderedPageBreak/>
              <w:t xml:space="preserve">- Se apoyó la revisión del producto 4 de la Estructuración técnica, legal, financiera, social y ambiental de un esquema de ciclorrutas territoriales, en su dimensión de infraestructura física y modelo de operación, que permita la articulación con el proyecto </w:t>
            </w:r>
            <w:proofErr w:type="spellStart"/>
            <w:r w:rsidRPr="00202088">
              <w:rPr>
                <w:color w:val="002060"/>
                <w:sz w:val="20"/>
                <w:szCs w:val="20"/>
              </w:rPr>
              <w:t>RegioTram</w:t>
            </w:r>
            <w:proofErr w:type="spellEnd"/>
            <w:r w:rsidRPr="00202088">
              <w:rPr>
                <w:color w:val="002060"/>
                <w:sz w:val="20"/>
                <w:szCs w:val="20"/>
              </w:rPr>
              <w:t xml:space="preserve"> de occidente y los municipios de su área de influencia</w:t>
            </w:r>
          </w:p>
          <w:p w14:paraId="2480F91F"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Acompañamiento y asesoría a las empresas interesadas en acceder a los permisos de aprovechamiento del espacio público para la actividad de alquiler de vehículos de micromovilidad</w:t>
            </w:r>
          </w:p>
          <w:p w14:paraId="02E1EFE9"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p w14:paraId="30BD625C" w14:textId="77777777" w:rsidR="00464642" w:rsidRPr="00202088" w:rsidRDefault="00416049" w:rsidP="00675AB1">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Actualmente la SDM se encuentra en un proceso de promoción y difusión de este esquema, para que la oferta de vehículos de micromovilidad sea mayor y así la ciudadanía se beneficie de este modo de transporte ambientalmente sostenible. Finalmente, se indica que esta meta fue cumplida y finalizó el 31 de diciembre de 2023.</w:t>
            </w:r>
          </w:p>
          <w:p w14:paraId="6C733D69"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p w14:paraId="1C07DBC2" w14:textId="77777777" w:rsidR="00464642" w:rsidRPr="00202088" w:rsidRDefault="00464642" w:rsidP="00675AB1">
            <w:pPr>
              <w:widowControl w:val="0"/>
              <w:pBdr>
                <w:top w:val="nil"/>
                <w:left w:val="nil"/>
                <w:bottom w:val="nil"/>
                <w:right w:val="nil"/>
                <w:between w:val="nil"/>
              </w:pBdr>
              <w:spacing w:after="0" w:line="240" w:lineRule="auto"/>
              <w:jc w:val="both"/>
              <w:rPr>
                <w:color w:val="002060"/>
                <w:sz w:val="20"/>
                <w:szCs w:val="20"/>
              </w:rPr>
            </w:pPr>
          </w:p>
        </w:tc>
      </w:tr>
      <w:tr w:rsidR="00202088" w:rsidRPr="00202088" w14:paraId="25770CCD" w14:textId="77777777" w:rsidTr="00E53CC3">
        <w:trPr>
          <w:trHeight w:val="420"/>
        </w:trPr>
        <w:tc>
          <w:tcPr>
            <w:tcW w:w="2565" w:type="dxa"/>
            <w:shd w:val="clear" w:color="auto" w:fill="D9D9D9" w:themeFill="background1" w:themeFillShade="D9"/>
          </w:tcPr>
          <w:p w14:paraId="638F429E"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lastRenderedPageBreak/>
              <w:t>271. Reducir en el 10% como promedio ponderado ciudad, la concentración de material particulado PM10 y PM2.5, mediante la implementación del Plan de Gestión Integral de Calidad de Aire (aporte de movilidad a meta del sector ambiente)</w:t>
            </w:r>
          </w:p>
        </w:tc>
        <w:tc>
          <w:tcPr>
            <w:tcW w:w="1875" w:type="dxa"/>
            <w:shd w:val="clear" w:color="auto" w:fill="D9D9D9" w:themeFill="background1" w:themeFillShade="D9"/>
          </w:tcPr>
          <w:p w14:paraId="09FB8E6E"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33.9%</w:t>
            </w:r>
          </w:p>
          <w:p w14:paraId="1293BC13"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17.3%</w:t>
            </w:r>
          </w:p>
        </w:tc>
        <w:tc>
          <w:tcPr>
            <w:tcW w:w="1275" w:type="dxa"/>
            <w:shd w:val="clear" w:color="auto" w:fill="D9D9D9" w:themeFill="background1" w:themeFillShade="D9"/>
          </w:tcPr>
          <w:p w14:paraId="48A2DB86"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37.4%</w:t>
            </w:r>
          </w:p>
          <w:p w14:paraId="2ACC8D7B"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18.4%</w:t>
            </w:r>
          </w:p>
        </w:tc>
        <w:tc>
          <w:tcPr>
            <w:tcW w:w="2235" w:type="dxa"/>
            <w:shd w:val="clear" w:color="auto" w:fill="D9D9D9" w:themeFill="background1" w:themeFillShade="D9"/>
          </w:tcPr>
          <w:p w14:paraId="045C6D72" w14:textId="77777777" w:rsidR="00464642" w:rsidRPr="00202088" w:rsidRDefault="00464642">
            <w:pPr>
              <w:widowControl w:val="0"/>
              <w:pBdr>
                <w:top w:val="nil"/>
                <w:left w:val="nil"/>
                <w:bottom w:val="nil"/>
                <w:right w:val="nil"/>
                <w:between w:val="nil"/>
              </w:pBdr>
              <w:spacing w:after="0" w:line="240" w:lineRule="auto"/>
              <w:rPr>
                <w:color w:val="002060"/>
                <w:sz w:val="20"/>
                <w:szCs w:val="20"/>
              </w:rPr>
            </w:pPr>
          </w:p>
        </w:tc>
        <w:tc>
          <w:tcPr>
            <w:tcW w:w="5481" w:type="dxa"/>
            <w:shd w:val="clear" w:color="auto" w:fill="D9D9D9" w:themeFill="background1" w:themeFillShade="D9"/>
          </w:tcPr>
          <w:p w14:paraId="68DF6602" w14:textId="77777777" w:rsidR="00464642" w:rsidRPr="00202088" w:rsidRDefault="00416049">
            <w:pPr>
              <w:widowControl w:val="0"/>
              <w:pBdr>
                <w:top w:val="nil"/>
                <w:left w:val="nil"/>
                <w:bottom w:val="nil"/>
                <w:right w:val="nil"/>
                <w:between w:val="nil"/>
              </w:pBdr>
              <w:spacing w:after="0" w:line="240" w:lineRule="auto"/>
              <w:rPr>
                <w:color w:val="002060"/>
                <w:sz w:val="20"/>
                <w:szCs w:val="20"/>
              </w:rPr>
            </w:pPr>
            <w:r w:rsidRPr="00202088">
              <w:rPr>
                <w:color w:val="002060"/>
                <w:sz w:val="20"/>
                <w:szCs w:val="20"/>
              </w:rPr>
              <w:t xml:space="preserve">Durante lo corrido del </w:t>
            </w:r>
            <w:proofErr w:type="spellStart"/>
            <w:r w:rsidRPr="00202088">
              <w:rPr>
                <w:color w:val="002060"/>
                <w:sz w:val="20"/>
                <w:szCs w:val="20"/>
              </w:rPr>
              <w:t>cuatrenio</w:t>
            </w:r>
            <w:proofErr w:type="spellEnd"/>
            <w:r w:rsidRPr="00202088">
              <w:rPr>
                <w:color w:val="002060"/>
                <w:sz w:val="20"/>
                <w:szCs w:val="20"/>
              </w:rPr>
              <w:t xml:space="preserve"> la SDM ha trabajado con la SDA en la construcción e implementación del Plan Aire 2030, instrumento que traza la hoja de ruta para la reducción de la concentración de material particulado, se avanzó en:</w:t>
            </w:r>
          </w:p>
          <w:p w14:paraId="5D595263"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 Estrategia de andenes para peatones: articulación con el IDU y la UMV, para la mejora de infraestructura peatonal </w:t>
            </w:r>
          </w:p>
          <w:p w14:paraId="46BA7CE0"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Celebración del Día distrital del peatón </w:t>
            </w:r>
          </w:p>
          <w:p w14:paraId="7B558034"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Ejecución de convenios con cooperación internacional, CAF y C40 para el análisis, formulación y pilotos de </w:t>
            </w:r>
            <w:proofErr w:type="spellStart"/>
            <w:r w:rsidRPr="00202088">
              <w:rPr>
                <w:color w:val="002060"/>
                <w:sz w:val="20"/>
                <w:szCs w:val="20"/>
              </w:rPr>
              <w:t>diágnóstico</w:t>
            </w:r>
            <w:proofErr w:type="spellEnd"/>
            <w:r w:rsidRPr="00202088">
              <w:rPr>
                <w:color w:val="002060"/>
                <w:sz w:val="20"/>
                <w:szCs w:val="20"/>
              </w:rPr>
              <w:t xml:space="preserve"> de la infraestructura peatonal.</w:t>
            </w:r>
          </w:p>
          <w:p w14:paraId="1A243B23"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Resignificación de espacios en el marco de la política pública del Peatón, la inclusión de un estímulo a la movilidad peatonal en el marco del convenio de estímulos de entre la SDM y la SCRD y la </w:t>
            </w:r>
            <w:r w:rsidRPr="00202088">
              <w:rPr>
                <w:color w:val="002060"/>
                <w:sz w:val="20"/>
                <w:szCs w:val="20"/>
              </w:rPr>
              <w:lastRenderedPageBreak/>
              <w:t xml:space="preserve">definición de fechas conmemorativas para la movilidad peatonal a celebrarse en 2024. </w:t>
            </w:r>
          </w:p>
          <w:p w14:paraId="7AFD6515"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Avance en la construcción de una metodología para establecer la hoja de ruta para la planeación de intervenciones peatonales en la infraestructura</w:t>
            </w:r>
          </w:p>
          <w:p w14:paraId="661BDFBF"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Revisión y estructuración de procesos peatonales</w:t>
            </w:r>
          </w:p>
          <w:p w14:paraId="56638BCF"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 </w:t>
            </w:r>
            <w:proofErr w:type="spellStart"/>
            <w:r w:rsidRPr="00202088">
              <w:rPr>
                <w:color w:val="002060"/>
                <w:sz w:val="20"/>
                <w:szCs w:val="20"/>
              </w:rPr>
              <w:t>Politica</w:t>
            </w:r>
            <w:proofErr w:type="spellEnd"/>
            <w:r w:rsidRPr="00202088">
              <w:rPr>
                <w:color w:val="002060"/>
                <w:sz w:val="20"/>
                <w:szCs w:val="20"/>
              </w:rPr>
              <w:t xml:space="preserve"> </w:t>
            </w:r>
            <w:proofErr w:type="gramStart"/>
            <w:r w:rsidRPr="00202088">
              <w:rPr>
                <w:color w:val="002060"/>
                <w:sz w:val="20"/>
                <w:szCs w:val="20"/>
              </w:rPr>
              <w:t>publica</w:t>
            </w:r>
            <w:proofErr w:type="gramEnd"/>
            <w:r w:rsidRPr="00202088">
              <w:rPr>
                <w:color w:val="002060"/>
                <w:sz w:val="20"/>
                <w:szCs w:val="20"/>
              </w:rPr>
              <w:t xml:space="preserve"> del </w:t>
            </w:r>
            <w:proofErr w:type="spellStart"/>
            <w:r w:rsidRPr="00202088">
              <w:rPr>
                <w:color w:val="002060"/>
                <w:sz w:val="20"/>
                <w:szCs w:val="20"/>
              </w:rPr>
              <w:t>peaton</w:t>
            </w:r>
            <w:proofErr w:type="spellEnd"/>
            <w:r w:rsidRPr="00202088">
              <w:rPr>
                <w:color w:val="002060"/>
                <w:sz w:val="20"/>
                <w:szCs w:val="20"/>
              </w:rPr>
              <w:t xml:space="preserve">: Se </w:t>
            </w:r>
            <w:proofErr w:type="spellStart"/>
            <w:r w:rsidRPr="00202088">
              <w:rPr>
                <w:color w:val="002060"/>
                <w:sz w:val="20"/>
                <w:szCs w:val="20"/>
              </w:rPr>
              <w:t>aprobo</w:t>
            </w:r>
            <w:proofErr w:type="spellEnd"/>
            <w:r w:rsidRPr="00202088">
              <w:rPr>
                <w:color w:val="002060"/>
                <w:sz w:val="20"/>
                <w:szCs w:val="20"/>
              </w:rPr>
              <w:t xml:space="preserve"> mediante documentos CONPES No 36 </w:t>
            </w:r>
          </w:p>
          <w:p w14:paraId="43F773D8" w14:textId="77777777" w:rsidR="00464642" w:rsidRPr="00202088" w:rsidRDefault="00464642" w:rsidP="00330B6F">
            <w:pPr>
              <w:widowControl w:val="0"/>
              <w:pBdr>
                <w:top w:val="nil"/>
                <w:left w:val="nil"/>
                <w:bottom w:val="nil"/>
                <w:right w:val="nil"/>
                <w:between w:val="nil"/>
              </w:pBdr>
              <w:spacing w:after="0" w:line="240" w:lineRule="auto"/>
              <w:jc w:val="both"/>
              <w:rPr>
                <w:color w:val="002060"/>
                <w:sz w:val="20"/>
                <w:szCs w:val="20"/>
              </w:rPr>
            </w:pPr>
          </w:p>
          <w:p w14:paraId="0723F1AD" w14:textId="77777777" w:rsidR="00464642" w:rsidRPr="00202088" w:rsidRDefault="00416049" w:rsidP="00330B6F">
            <w:pPr>
              <w:widowControl w:val="0"/>
              <w:pBdr>
                <w:top w:val="nil"/>
                <w:left w:val="nil"/>
                <w:bottom w:val="nil"/>
                <w:right w:val="nil"/>
                <w:between w:val="nil"/>
              </w:pBdr>
              <w:spacing w:after="0" w:line="240" w:lineRule="auto"/>
              <w:jc w:val="both"/>
              <w:rPr>
                <w:color w:val="002060"/>
                <w:sz w:val="20"/>
                <w:szCs w:val="20"/>
              </w:rPr>
            </w:pPr>
            <w:r w:rsidRPr="00202088">
              <w:rPr>
                <w:color w:val="002060"/>
                <w:sz w:val="20"/>
                <w:szCs w:val="20"/>
              </w:rPr>
              <w:t xml:space="preserve">La Secretaría Distrital de Ambiente, en el marco del cumplimiento de la meta de la concentración promedio ponderado de ciudad de material particulado PM2,5 presenta un reporte para el Primer Trimestre de 2024 de 18,40 microgramos por metro </w:t>
            </w:r>
            <w:proofErr w:type="spellStart"/>
            <w:r w:rsidRPr="00202088">
              <w:rPr>
                <w:color w:val="002060"/>
                <w:sz w:val="20"/>
                <w:szCs w:val="20"/>
              </w:rPr>
              <w:t>cúbico.El</w:t>
            </w:r>
            <w:proofErr w:type="spellEnd"/>
            <w:r w:rsidRPr="00202088">
              <w:rPr>
                <w:color w:val="002060"/>
                <w:sz w:val="20"/>
                <w:szCs w:val="20"/>
              </w:rPr>
              <w:t xml:space="preserve"> reporte de la meta de reducción se calcula con el promedio ponderado (móvil anual), con un 40% representado por las estaciones de la zona suroccidente (Carvajal-Sevillana, Kennedy y Puente Aranda) y el 60% restante, correspondiente al resto de estaciones (antiguas) de la ciudad. En consecuencia, se calcula el valor para cada estación con el promedio de los valores diarios, posteriormente se calcula el promedio mensual para cada estación del periodo de corte. Este promedio busca establecer el cambio en las concentraciones teniendo en cuenta la periodicidad de los ciclos anuales de calidad del aire en la ciudad.</w:t>
            </w:r>
          </w:p>
          <w:p w14:paraId="08FB22E9" w14:textId="31ABAC9B" w:rsidR="00464642" w:rsidRPr="00202088" w:rsidRDefault="00464642">
            <w:pPr>
              <w:widowControl w:val="0"/>
              <w:pBdr>
                <w:top w:val="nil"/>
                <w:left w:val="nil"/>
                <w:bottom w:val="nil"/>
                <w:right w:val="nil"/>
                <w:between w:val="nil"/>
              </w:pBdr>
              <w:spacing w:after="0" w:line="240" w:lineRule="auto"/>
              <w:rPr>
                <w:color w:val="002060"/>
                <w:sz w:val="20"/>
                <w:szCs w:val="20"/>
              </w:rPr>
            </w:pPr>
          </w:p>
        </w:tc>
      </w:tr>
    </w:tbl>
    <w:p w14:paraId="6332EB3D" w14:textId="38D7FBA6" w:rsidR="00464642" w:rsidRDefault="00464642"/>
    <w:p w14:paraId="33776A0A" w14:textId="3BA3D309" w:rsidR="00464642" w:rsidRDefault="00464642"/>
    <w:tbl>
      <w:tblPr>
        <w:tblStyle w:val="Tablaconcuadrcula5oscura-nfasis5"/>
        <w:tblW w:w="13305" w:type="dxa"/>
        <w:shd w:val="clear" w:color="auto" w:fill="4274B0"/>
        <w:tblLayout w:type="fixed"/>
        <w:tblLook w:val="0600" w:firstRow="0" w:lastRow="0" w:firstColumn="0" w:lastColumn="0" w:noHBand="1" w:noVBand="1"/>
      </w:tblPr>
      <w:tblGrid>
        <w:gridCol w:w="13305"/>
      </w:tblGrid>
      <w:tr w:rsidR="00E53CC3" w:rsidRPr="00E53CC3" w14:paraId="6B2C31CF" w14:textId="77777777" w:rsidTr="00E53CC3">
        <w:trPr>
          <w:trHeight w:val="420"/>
        </w:trPr>
        <w:tc>
          <w:tcPr>
            <w:tcW w:w="13305" w:type="dxa"/>
            <w:shd w:val="clear" w:color="auto" w:fill="4274B0"/>
          </w:tcPr>
          <w:p w14:paraId="072BC42C" w14:textId="60B7E032" w:rsidR="00464642" w:rsidRPr="00E53CC3" w:rsidRDefault="00416049">
            <w:pPr>
              <w:widowControl w:val="0"/>
              <w:spacing w:after="0" w:line="240" w:lineRule="auto"/>
              <w:jc w:val="center"/>
              <w:rPr>
                <w:color w:val="FFFFFF" w:themeColor="background1"/>
                <w:sz w:val="20"/>
                <w:szCs w:val="20"/>
              </w:rPr>
            </w:pPr>
            <w:r w:rsidRPr="00E53CC3">
              <w:rPr>
                <w:color w:val="FFFFFF" w:themeColor="background1"/>
              </w:rPr>
              <w:t>PROGRAMA 49:</w:t>
            </w:r>
            <w:r w:rsidR="00E53CC3">
              <w:rPr>
                <w:color w:val="FFFFFF" w:themeColor="background1"/>
              </w:rPr>
              <w:t xml:space="preserve"> </w:t>
            </w:r>
            <w:r w:rsidRPr="00E53CC3">
              <w:rPr>
                <w:color w:val="FFFFFF" w:themeColor="background1"/>
                <w:sz w:val="20"/>
                <w:szCs w:val="20"/>
              </w:rPr>
              <w:t>MOVILIDAD SEGURA, SOSTENIBLE Y ACCESIBLE</w:t>
            </w:r>
          </w:p>
          <w:p w14:paraId="35118ADA" w14:textId="77777777" w:rsidR="00464642" w:rsidRPr="00E53CC3" w:rsidRDefault="00416049">
            <w:pPr>
              <w:widowControl w:val="0"/>
              <w:spacing w:before="40" w:after="0" w:line="240" w:lineRule="auto"/>
              <w:rPr>
                <w:color w:val="FFFFFF" w:themeColor="background1"/>
                <w:sz w:val="20"/>
                <w:szCs w:val="20"/>
              </w:rPr>
            </w:pPr>
            <w:r w:rsidRPr="00E53CC3">
              <w:rPr>
                <w:color w:val="FFFFFF" w:themeColor="background1"/>
                <w:sz w:val="20"/>
                <w:szCs w:val="20"/>
              </w:rPr>
              <w:t>7579: Implementación del Plan de Distrital de Seguridad Vial en Bogotá</w:t>
            </w:r>
          </w:p>
          <w:p w14:paraId="7D088FE1" w14:textId="77777777" w:rsidR="00464642" w:rsidRPr="00E53CC3" w:rsidRDefault="00416049">
            <w:pPr>
              <w:widowControl w:val="0"/>
              <w:spacing w:before="40" w:after="0" w:line="240" w:lineRule="auto"/>
              <w:rPr>
                <w:color w:val="FFFFFF" w:themeColor="background1"/>
                <w:sz w:val="20"/>
                <w:szCs w:val="20"/>
              </w:rPr>
            </w:pPr>
            <w:r w:rsidRPr="00E53CC3">
              <w:rPr>
                <w:color w:val="FFFFFF" w:themeColor="background1"/>
                <w:sz w:val="20"/>
                <w:szCs w:val="20"/>
              </w:rPr>
              <w:lastRenderedPageBreak/>
              <w:t>7581: Fortalecer la comunicación y la cultura ciudadana para la movilidad como elemento constructivo y pedagógico del nuevo contrato social</w:t>
            </w:r>
          </w:p>
          <w:p w14:paraId="4C849DE7" w14:textId="77777777" w:rsidR="00464642" w:rsidRPr="00E53CC3" w:rsidRDefault="00416049">
            <w:pPr>
              <w:widowControl w:val="0"/>
              <w:spacing w:before="40" w:after="0" w:line="240" w:lineRule="auto"/>
              <w:rPr>
                <w:color w:val="FFFFFF" w:themeColor="background1"/>
                <w:sz w:val="20"/>
                <w:szCs w:val="20"/>
              </w:rPr>
            </w:pPr>
            <w:r w:rsidRPr="00E53CC3">
              <w:rPr>
                <w:color w:val="FFFFFF" w:themeColor="background1"/>
                <w:sz w:val="20"/>
                <w:szCs w:val="20"/>
              </w:rPr>
              <w:t>7588: Fortalecimiento de una movilidad sostenible y accesible para Bogotá y su Región</w:t>
            </w:r>
          </w:p>
          <w:p w14:paraId="16AA87CE" w14:textId="77777777" w:rsidR="00464642" w:rsidRPr="00E53CC3" w:rsidRDefault="00416049">
            <w:pPr>
              <w:widowControl w:val="0"/>
              <w:spacing w:before="40" w:after="0" w:line="240" w:lineRule="auto"/>
              <w:rPr>
                <w:color w:val="FFFFFF" w:themeColor="background1"/>
                <w:sz w:val="20"/>
                <w:szCs w:val="20"/>
              </w:rPr>
            </w:pPr>
            <w:r w:rsidRPr="00E53CC3">
              <w:rPr>
                <w:color w:val="FFFFFF" w:themeColor="background1"/>
                <w:sz w:val="20"/>
                <w:szCs w:val="20"/>
              </w:rPr>
              <w:t>7578:  Fortalecimiento de la gestión y control de la movilidad en Bogotá</w:t>
            </w:r>
          </w:p>
          <w:p w14:paraId="272897FE" w14:textId="77777777" w:rsidR="00464642" w:rsidRPr="00E53CC3" w:rsidRDefault="00416049">
            <w:pPr>
              <w:widowControl w:val="0"/>
              <w:spacing w:before="40" w:after="0" w:line="240" w:lineRule="auto"/>
              <w:rPr>
                <w:color w:val="FFFFFF" w:themeColor="background1"/>
                <w:sz w:val="20"/>
                <w:szCs w:val="20"/>
              </w:rPr>
            </w:pPr>
            <w:r w:rsidRPr="00E53CC3">
              <w:rPr>
                <w:color w:val="FFFFFF" w:themeColor="background1"/>
                <w:sz w:val="20"/>
                <w:szCs w:val="20"/>
              </w:rPr>
              <w:t>7587:  Implementación de señalización para mejorar las condiciones de seguridad vial, movilidad y accesibilidad en Bogotá</w:t>
            </w:r>
          </w:p>
          <w:p w14:paraId="5B5BC0EA" w14:textId="77777777" w:rsidR="00464642" w:rsidRPr="00E53CC3" w:rsidRDefault="00416049">
            <w:pPr>
              <w:widowControl w:val="0"/>
              <w:spacing w:before="40" w:after="0" w:line="240" w:lineRule="auto"/>
              <w:rPr>
                <w:color w:val="FFFFFF" w:themeColor="background1"/>
                <w:sz w:val="20"/>
                <w:szCs w:val="20"/>
              </w:rPr>
            </w:pPr>
            <w:r w:rsidRPr="00E53CC3">
              <w:rPr>
                <w:color w:val="FFFFFF" w:themeColor="background1"/>
                <w:sz w:val="20"/>
                <w:szCs w:val="20"/>
              </w:rPr>
              <w:t>7576: Consolidación del programa niñas y niños primero para mejorar las experiencias de viaje de la población estudiantil en Bogotá</w:t>
            </w:r>
          </w:p>
          <w:p w14:paraId="6A04C272" w14:textId="77777777" w:rsidR="00464642" w:rsidRPr="00E53CC3" w:rsidRDefault="00416049">
            <w:pPr>
              <w:widowControl w:val="0"/>
              <w:spacing w:before="40" w:after="0" w:line="240" w:lineRule="auto"/>
              <w:rPr>
                <w:color w:val="FFFFFF" w:themeColor="background1"/>
                <w:sz w:val="20"/>
                <w:szCs w:val="20"/>
              </w:rPr>
            </w:pPr>
            <w:r w:rsidRPr="00E53CC3">
              <w:rPr>
                <w:color w:val="FFFFFF" w:themeColor="background1"/>
                <w:sz w:val="20"/>
                <w:szCs w:val="20"/>
              </w:rPr>
              <w:t>7573: Apoyo a las acciones de regulación y control de tránsito y transporte en Bogotá</w:t>
            </w:r>
          </w:p>
          <w:p w14:paraId="53A48FC4" w14:textId="77777777" w:rsidR="00464642" w:rsidRPr="00E53CC3" w:rsidRDefault="00416049">
            <w:pPr>
              <w:widowControl w:val="0"/>
              <w:spacing w:before="40" w:after="0" w:line="240" w:lineRule="auto"/>
              <w:rPr>
                <w:color w:val="FFFFFF" w:themeColor="background1"/>
                <w:sz w:val="20"/>
                <w:szCs w:val="20"/>
              </w:rPr>
            </w:pPr>
            <w:r w:rsidRPr="00E53CC3">
              <w:rPr>
                <w:color w:val="FFFFFF" w:themeColor="background1"/>
                <w:sz w:val="20"/>
                <w:szCs w:val="20"/>
              </w:rPr>
              <w:t>7907: Consolidación del Centro de Orientación a Víctimas de Siniestros Viales de Bogotá</w:t>
            </w:r>
          </w:p>
        </w:tc>
      </w:tr>
    </w:tbl>
    <w:p w14:paraId="0878C3AC" w14:textId="397F38EE" w:rsidR="00E53CC3" w:rsidRDefault="00E53CC3">
      <w:pPr>
        <w:widowControl w:val="0"/>
        <w:spacing w:after="0" w:line="240" w:lineRule="auto"/>
        <w:jc w:val="center"/>
      </w:pPr>
    </w:p>
    <w:tbl>
      <w:tblPr>
        <w:tblStyle w:val="Tablaconcuadrcula5oscura-nfasis5"/>
        <w:tblW w:w="13305" w:type="dxa"/>
        <w:tblLayout w:type="fixed"/>
        <w:tblLook w:val="0600" w:firstRow="0" w:lastRow="0" w:firstColumn="0" w:lastColumn="0" w:noHBand="1" w:noVBand="1"/>
      </w:tblPr>
      <w:tblGrid>
        <w:gridCol w:w="2445"/>
        <w:gridCol w:w="1875"/>
        <w:gridCol w:w="1275"/>
        <w:gridCol w:w="1590"/>
        <w:gridCol w:w="6120"/>
      </w:tblGrid>
      <w:tr w:rsidR="00E53CC3" w:rsidRPr="00E53CC3" w14:paraId="0DD49DEF" w14:textId="77777777" w:rsidTr="00781968">
        <w:trPr>
          <w:trHeight w:val="420"/>
          <w:tblHeader/>
        </w:trPr>
        <w:tc>
          <w:tcPr>
            <w:tcW w:w="2445" w:type="dxa"/>
          </w:tcPr>
          <w:p w14:paraId="197FC9B6" w14:textId="01869DAE" w:rsidR="00464642" w:rsidRPr="00E53CC3" w:rsidRDefault="00416049">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Meta</w:t>
            </w:r>
          </w:p>
        </w:tc>
        <w:tc>
          <w:tcPr>
            <w:tcW w:w="1875" w:type="dxa"/>
          </w:tcPr>
          <w:p w14:paraId="566A1A2A" w14:textId="77777777" w:rsidR="00464642" w:rsidRPr="00E53CC3" w:rsidRDefault="00416049">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Magnitud</w:t>
            </w:r>
          </w:p>
          <w:p w14:paraId="3F7AAF4D" w14:textId="77777777" w:rsidR="00464642" w:rsidRPr="00E53CC3" w:rsidRDefault="00416049">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Programada</w:t>
            </w:r>
          </w:p>
        </w:tc>
        <w:tc>
          <w:tcPr>
            <w:tcW w:w="1275" w:type="dxa"/>
          </w:tcPr>
          <w:p w14:paraId="60A3E1FB" w14:textId="77777777" w:rsidR="00464642" w:rsidRPr="00E53CC3" w:rsidRDefault="00416049">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 xml:space="preserve">Magnitud </w:t>
            </w:r>
          </w:p>
          <w:p w14:paraId="0A213F31" w14:textId="77777777" w:rsidR="00464642" w:rsidRPr="00E53CC3" w:rsidRDefault="00416049">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Ejecutada</w:t>
            </w:r>
          </w:p>
        </w:tc>
        <w:tc>
          <w:tcPr>
            <w:tcW w:w="1590" w:type="dxa"/>
          </w:tcPr>
          <w:p w14:paraId="3881E895" w14:textId="77777777" w:rsidR="00464642" w:rsidRPr="00E53CC3" w:rsidRDefault="00416049">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 de Cumplimiento</w:t>
            </w:r>
          </w:p>
        </w:tc>
        <w:tc>
          <w:tcPr>
            <w:tcW w:w="6120" w:type="dxa"/>
          </w:tcPr>
          <w:p w14:paraId="6AC4754B" w14:textId="77777777" w:rsidR="00464642" w:rsidRPr="00E53CC3" w:rsidRDefault="00416049">
            <w:pPr>
              <w:widowControl w:val="0"/>
              <w:pBdr>
                <w:top w:val="nil"/>
                <w:left w:val="nil"/>
                <w:bottom w:val="nil"/>
                <w:right w:val="nil"/>
                <w:between w:val="nil"/>
              </w:pBdr>
              <w:spacing w:after="0" w:line="240" w:lineRule="auto"/>
              <w:rPr>
                <w:b/>
                <w:bCs/>
                <w:color w:val="002060"/>
                <w:sz w:val="18"/>
                <w:szCs w:val="18"/>
              </w:rPr>
            </w:pPr>
            <w:r w:rsidRPr="00E53CC3">
              <w:rPr>
                <w:b/>
                <w:bCs/>
                <w:color w:val="002060"/>
                <w:sz w:val="18"/>
                <w:szCs w:val="18"/>
              </w:rPr>
              <w:t>Logros, Avances y Dificultades</w:t>
            </w:r>
          </w:p>
        </w:tc>
      </w:tr>
      <w:tr w:rsidR="00E53CC3" w:rsidRPr="00E53CC3" w14:paraId="0EA65843" w14:textId="77777777" w:rsidTr="00E53CC3">
        <w:trPr>
          <w:trHeight w:val="420"/>
        </w:trPr>
        <w:tc>
          <w:tcPr>
            <w:tcW w:w="2445" w:type="dxa"/>
          </w:tcPr>
          <w:p w14:paraId="30BB8BA7"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379.Consolidar y reforzar el programa de movilidad Niños y Niñas Primero con el fin de aumentar el número de beneficiarios y facilitar el acceso a la educación de niñas, niños y adolescentes</w:t>
            </w:r>
          </w:p>
        </w:tc>
        <w:tc>
          <w:tcPr>
            <w:tcW w:w="1875" w:type="dxa"/>
          </w:tcPr>
          <w:p w14:paraId="25E9577E"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45.822</w:t>
            </w:r>
          </w:p>
        </w:tc>
        <w:tc>
          <w:tcPr>
            <w:tcW w:w="1275" w:type="dxa"/>
          </w:tcPr>
          <w:p w14:paraId="03CE3DBE"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49.862</w:t>
            </w:r>
          </w:p>
        </w:tc>
        <w:tc>
          <w:tcPr>
            <w:tcW w:w="1590" w:type="dxa"/>
          </w:tcPr>
          <w:p w14:paraId="1A2341A5"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108,8%</w:t>
            </w:r>
          </w:p>
        </w:tc>
        <w:tc>
          <w:tcPr>
            <w:tcW w:w="6120" w:type="dxa"/>
          </w:tcPr>
          <w:p w14:paraId="559A2371" w14:textId="77777777" w:rsidR="00464642" w:rsidRPr="00E53CC3" w:rsidRDefault="00416049">
            <w:pPr>
              <w:widowControl w:val="0"/>
              <w:spacing w:after="0" w:line="240" w:lineRule="auto"/>
              <w:jc w:val="both"/>
              <w:rPr>
                <w:color w:val="002060"/>
                <w:sz w:val="18"/>
                <w:szCs w:val="18"/>
              </w:rPr>
            </w:pPr>
            <w:r w:rsidRPr="00E53CC3">
              <w:rPr>
                <w:color w:val="002060"/>
                <w:sz w:val="18"/>
                <w:szCs w:val="18"/>
              </w:rPr>
              <w:t xml:space="preserve">En lo que respecta a la vigencia 2024, se han beneficiado 49.862 estudiantes con el inicio de la operación a la par que el calendario escolar en las localidades donde operan los proyectos Al Colegio en Bici, Ciempiés Caminos Seguros, Ruta Pila y Guardacaminos. Durante la vigencia se ha logrado iniciar la operación de 42 caminos seguros, 124 rutas de confianza, 22 polígonos seguros, y 16 colegios han alcanzado fase de implementación de la estrategia Guardacaminos, así como se han revisado los buses escolares beneficiando esta población. Con el proyecto de "Al Colegio en Bici" se logró la realización de 291.462 viajes, beneficiando a 6.170 estudiantes, y con el proyecto "Ciempiés Caminos Seguros" 121.118 viajes, beneficiando a 2.106 estudiantes. Por su parte con la estrategia Guardacaminos, la implementación de los pasos seguros y cierres viales en los horarios de entrada y salida de clases en 16 colegios ha beneficiado a 8.264 niñas, niños y adolescentes que utilizan los cruces y finalmente para Ruta Pila, en lo corrido del 2024 se han realizado 77 visitas a colegios </w:t>
            </w:r>
            <w:proofErr w:type="gramStart"/>
            <w:r w:rsidRPr="00E53CC3">
              <w:rPr>
                <w:color w:val="002060"/>
                <w:sz w:val="18"/>
                <w:szCs w:val="18"/>
              </w:rPr>
              <w:t>y  4.011</w:t>
            </w:r>
            <w:proofErr w:type="gramEnd"/>
            <w:r w:rsidRPr="00E53CC3">
              <w:rPr>
                <w:color w:val="002060"/>
                <w:sz w:val="18"/>
                <w:szCs w:val="18"/>
              </w:rPr>
              <w:t xml:space="preserve"> revisiones a vehículos escolares, logrando beneficiar a 33.322 estudiantes. </w:t>
            </w:r>
          </w:p>
          <w:p w14:paraId="154E915A" w14:textId="77777777" w:rsidR="00464642" w:rsidRPr="00E53CC3" w:rsidRDefault="00416049">
            <w:pPr>
              <w:widowControl w:val="0"/>
              <w:spacing w:after="0" w:line="240" w:lineRule="auto"/>
              <w:jc w:val="both"/>
              <w:rPr>
                <w:color w:val="002060"/>
                <w:sz w:val="18"/>
                <w:szCs w:val="18"/>
              </w:rPr>
            </w:pPr>
            <w:r w:rsidRPr="00E53CC3">
              <w:rPr>
                <w:color w:val="002060"/>
                <w:sz w:val="18"/>
                <w:szCs w:val="18"/>
              </w:rPr>
              <w:t xml:space="preserve">A </w:t>
            </w:r>
            <w:proofErr w:type="gramStart"/>
            <w:r w:rsidRPr="00E53CC3">
              <w:rPr>
                <w:color w:val="002060"/>
                <w:sz w:val="18"/>
                <w:szCs w:val="18"/>
              </w:rPr>
              <w:t>continuación</w:t>
            </w:r>
            <w:proofErr w:type="gramEnd"/>
            <w:r w:rsidRPr="00E53CC3">
              <w:rPr>
                <w:color w:val="002060"/>
                <w:sz w:val="18"/>
                <w:szCs w:val="18"/>
              </w:rPr>
              <w:t xml:space="preserve"> se brinda mayor detalle para los avances de la vigencia 2024 con corte al mes de mayo:</w:t>
            </w:r>
          </w:p>
          <w:p w14:paraId="022AE15F" w14:textId="77777777" w:rsidR="00464642" w:rsidRPr="00E53CC3" w:rsidRDefault="00416049">
            <w:pPr>
              <w:widowControl w:val="0"/>
              <w:spacing w:after="0" w:line="240" w:lineRule="auto"/>
              <w:jc w:val="both"/>
              <w:rPr>
                <w:color w:val="002060"/>
                <w:sz w:val="18"/>
                <w:szCs w:val="18"/>
              </w:rPr>
            </w:pPr>
            <w:r w:rsidRPr="00E53CC3">
              <w:rPr>
                <w:color w:val="002060"/>
                <w:sz w:val="18"/>
                <w:szCs w:val="18"/>
              </w:rPr>
              <w:t xml:space="preserve">Ciempiés, a la fecha ha logrado la activación de 42 caminos seguros, logrando beneficiar a 2106 estudiantes, distribuidos en 7 localidades de las 9 donde se opera, distribuida de la siguiente manera: Bosa 503, Kennedy 305, Los Mártires 222, Suba 483, Ciudad Bolívar 207, Tunjuelito 21 y Usaquén 365.  De los 2016 estudiantes </w:t>
            </w:r>
            <w:proofErr w:type="gramStart"/>
            <w:r w:rsidRPr="00E53CC3">
              <w:rPr>
                <w:color w:val="002060"/>
                <w:sz w:val="18"/>
                <w:szCs w:val="18"/>
              </w:rPr>
              <w:t>beneficiados  1877</w:t>
            </w:r>
            <w:proofErr w:type="gramEnd"/>
            <w:r w:rsidRPr="00E53CC3">
              <w:rPr>
                <w:color w:val="002060"/>
                <w:sz w:val="18"/>
                <w:szCs w:val="18"/>
              </w:rPr>
              <w:t xml:space="preserve"> se encuentran entre los 5 y los 12 años de edad y  229 de 13 en adelante. Adicionalmente 1081 son niñas y 1025 son niños. Con </w:t>
            </w:r>
            <w:r w:rsidRPr="00E53CC3">
              <w:rPr>
                <w:color w:val="002060"/>
                <w:sz w:val="18"/>
                <w:szCs w:val="18"/>
              </w:rPr>
              <w:lastRenderedPageBreak/>
              <w:t xml:space="preserve">relación a la comunidades se cuenta con 8 negros/afro; 14 indígenas del pueblo </w:t>
            </w:r>
            <w:proofErr w:type="spellStart"/>
            <w:r w:rsidRPr="00E53CC3">
              <w:rPr>
                <w:color w:val="002060"/>
                <w:sz w:val="18"/>
                <w:szCs w:val="18"/>
              </w:rPr>
              <w:t>Kichwa</w:t>
            </w:r>
            <w:proofErr w:type="spellEnd"/>
            <w:r w:rsidRPr="00E53CC3">
              <w:rPr>
                <w:color w:val="002060"/>
                <w:sz w:val="18"/>
                <w:szCs w:val="18"/>
              </w:rPr>
              <w:t xml:space="preserve">, </w:t>
            </w:r>
            <w:proofErr w:type="spellStart"/>
            <w:proofErr w:type="gramStart"/>
            <w:r w:rsidRPr="00E53CC3">
              <w:rPr>
                <w:color w:val="002060"/>
                <w:sz w:val="18"/>
                <w:szCs w:val="18"/>
              </w:rPr>
              <w:t>Tikuna,Quechua</w:t>
            </w:r>
            <w:proofErr w:type="spellEnd"/>
            <w:proofErr w:type="gramEnd"/>
            <w:r w:rsidRPr="00E53CC3">
              <w:rPr>
                <w:color w:val="002060"/>
                <w:sz w:val="18"/>
                <w:szCs w:val="18"/>
              </w:rPr>
              <w:t xml:space="preserve"> y Muisca. Adicionalmente, se cuenta con 12 estudiantes con discapacidad. </w:t>
            </w:r>
          </w:p>
          <w:p w14:paraId="4214AB6A" w14:textId="77777777" w:rsidR="00464642" w:rsidRPr="00E53CC3" w:rsidRDefault="00464642">
            <w:pPr>
              <w:widowControl w:val="0"/>
              <w:spacing w:after="0" w:line="240" w:lineRule="auto"/>
              <w:jc w:val="both"/>
              <w:rPr>
                <w:color w:val="002060"/>
                <w:sz w:val="18"/>
                <w:szCs w:val="18"/>
              </w:rPr>
            </w:pPr>
          </w:p>
          <w:p w14:paraId="2E00DA4D" w14:textId="77777777" w:rsidR="00464642" w:rsidRPr="00E53CC3" w:rsidRDefault="00416049">
            <w:pPr>
              <w:widowControl w:val="0"/>
              <w:spacing w:after="0" w:line="240" w:lineRule="auto"/>
              <w:jc w:val="both"/>
              <w:rPr>
                <w:color w:val="002060"/>
                <w:sz w:val="18"/>
                <w:szCs w:val="18"/>
              </w:rPr>
            </w:pPr>
            <w:r w:rsidRPr="00E53CC3">
              <w:rPr>
                <w:color w:val="002060"/>
                <w:sz w:val="18"/>
                <w:szCs w:val="18"/>
              </w:rPr>
              <w:t xml:space="preserve">Con Al Colegio en Bici a la fecha ha logrado la activación de 124 rutas de confianza y 22 polígonos de </w:t>
            </w:r>
            <w:proofErr w:type="spellStart"/>
            <w:r w:rsidRPr="00E53CC3">
              <w:rPr>
                <w:color w:val="002060"/>
                <w:sz w:val="18"/>
                <w:szCs w:val="18"/>
              </w:rPr>
              <w:t>BiciParceros</w:t>
            </w:r>
            <w:proofErr w:type="spellEnd"/>
            <w:r w:rsidRPr="00E53CC3">
              <w:rPr>
                <w:color w:val="002060"/>
                <w:sz w:val="18"/>
                <w:szCs w:val="18"/>
              </w:rPr>
              <w:t xml:space="preserve">, logrando beneficiar a 6.170 estudiantes (Rutas 3.605 y polígonos 2.565), distribuidos en las 15 localidades de la siguiente manera: Antonio Nariño 91, Barrio Unidos 76, Bosa 1339, Ciudad Bolívar 349, Engativá 1169, Fontibón 318, Kennedy 653, Los Mártires 73, Puente Aranda 298, Rafael Uribe </w:t>
            </w:r>
            <w:proofErr w:type="spellStart"/>
            <w:r w:rsidRPr="00E53CC3">
              <w:rPr>
                <w:color w:val="002060"/>
                <w:sz w:val="18"/>
                <w:szCs w:val="18"/>
              </w:rPr>
              <w:t>Uribe</w:t>
            </w:r>
            <w:proofErr w:type="spellEnd"/>
            <w:r w:rsidRPr="00E53CC3">
              <w:rPr>
                <w:color w:val="002060"/>
                <w:sz w:val="18"/>
                <w:szCs w:val="18"/>
              </w:rPr>
              <w:t xml:space="preserve"> 308, San </w:t>
            </w:r>
            <w:proofErr w:type="spellStart"/>
            <w:r w:rsidRPr="00E53CC3">
              <w:rPr>
                <w:color w:val="002060"/>
                <w:sz w:val="18"/>
                <w:szCs w:val="18"/>
              </w:rPr>
              <w:t>Cristobal</w:t>
            </w:r>
            <w:proofErr w:type="spellEnd"/>
            <w:r w:rsidRPr="00E53CC3">
              <w:rPr>
                <w:color w:val="002060"/>
                <w:sz w:val="18"/>
                <w:szCs w:val="18"/>
              </w:rPr>
              <w:t xml:space="preserve"> 39, Suba 906, Tunjuelito 228, Usaquén 191 y Usme 132. De los 6.170 estudiantes beneficiados 4.224 se encuentran entre los 5 y los 12 años de edad, y 1.946 de 13 en adelante. Adicionalmente 2.189 son niñas y 3.981 son niños. Por </w:t>
            </w:r>
            <w:proofErr w:type="gramStart"/>
            <w:r w:rsidRPr="00E53CC3">
              <w:rPr>
                <w:color w:val="002060"/>
                <w:sz w:val="18"/>
                <w:szCs w:val="18"/>
              </w:rPr>
              <w:t>último</w:t>
            </w:r>
            <w:proofErr w:type="gramEnd"/>
            <w:r w:rsidRPr="00E53CC3">
              <w:rPr>
                <w:color w:val="002060"/>
                <w:sz w:val="18"/>
                <w:szCs w:val="18"/>
              </w:rPr>
              <w:t xml:space="preserve"> en tipo comunidad a la fecha se han beneficiado 55 estudiantes pertenecientes a la comunidad afro y 29 estudiantes pertenecientes a la comunidad indígena (</w:t>
            </w:r>
            <w:proofErr w:type="spellStart"/>
            <w:r w:rsidRPr="00E53CC3">
              <w:rPr>
                <w:color w:val="002060"/>
                <w:sz w:val="18"/>
                <w:szCs w:val="18"/>
              </w:rPr>
              <w:t>Achagua</w:t>
            </w:r>
            <w:proofErr w:type="spellEnd"/>
            <w:r w:rsidRPr="00E53CC3">
              <w:rPr>
                <w:color w:val="002060"/>
                <w:sz w:val="18"/>
                <w:szCs w:val="18"/>
              </w:rPr>
              <w:t xml:space="preserve"> 1, </w:t>
            </w:r>
            <w:proofErr w:type="spellStart"/>
            <w:r w:rsidRPr="00E53CC3">
              <w:rPr>
                <w:color w:val="002060"/>
                <w:sz w:val="18"/>
                <w:szCs w:val="18"/>
              </w:rPr>
              <w:t>Awa</w:t>
            </w:r>
            <w:proofErr w:type="spellEnd"/>
            <w:r w:rsidRPr="00E53CC3">
              <w:rPr>
                <w:color w:val="002060"/>
                <w:sz w:val="18"/>
                <w:szCs w:val="18"/>
              </w:rPr>
              <w:t xml:space="preserve"> 2, </w:t>
            </w:r>
            <w:proofErr w:type="spellStart"/>
            <w:r w:rsidRPr="00E53CC3">
              <w:rPr>
                <w:color w:val="002060"/>
                <w:sz w:val="18"/>
                <w:szCs w:val="18"/>
              </w:rPr>
              <w:t>Chimilas</w:t>
            </w:r>
            <w:proofErr w:type="spellEnd"/>
            <w:r w:rsidRPr="00E53CC3">
              <w:rPr>
                <w:color w:val="002060"/>
                <w:sz w:val="18"/>
                <w:szCs w:val="18"/>
              </w:rPr>
              <w:t xml:space="preserve"> 1, </w:t>
            </w:r>
            <w:proofErr w:type="spellStart"/>
            <w:r w:rsidRPr="00E53CC3">
              <w:rPr>
                <w:color w:val="002060"/>
                <w:sz w:val="18"/>
                <w:szCs w:val="18"/>
              </w:rPr>
              <w:t>Kichwa</w:t>
            </w:r>
            <w:proofErr w:type="spellEnd"/>
            <w:r w:rsidRPr="00E53CC3">
              <w:rPr>
                <w:color w:val="002060"/>
                <w:sz w:val="18"/>
                <w:szCs w:val="18"/>
              </w:rPr>
              <w:t xml:space="preserve"> 1, Muisca 8, </w:t>
            </w:r>
            <w:proofErr w:type="spellStart"/>
            <w:r w:rsidRPr="00E53CC3">
              <w:rPr>
                <w:color w:val="002060"/>
                <w:sz w:val="18"/>
                <w:szCs w:val="18"/>
              </w:rPr>
              <w:t>Paez</w:t>
            </w:r>
            <w:proofErr w:type="spellEnd"/>
            <w:r w:rsidRPr="00E53CC3">
              <w:rPr>
                <w:color w:val="002060"/>
                <w:sz w:val="18"/>
                <w:szCs w:val="18"/>
              </w:rPr>
              <w:t xml:space="preserve"> 2, Pastos 1, Pijao 5, Siriano 1, Wayuu 5 y </w:t>
            </w:r>
            <w:proofErr w:type="spellStart"/>
            <w:r w:rsidRPr="00E53CC3">
              <w:rPr>
                <w:color w:val="002060"/>
                <w:sz w:val="18"/>
                <w:szCs w:val="18"/>
              </w:rPr>
              <w:t>Zenu</w:t>
            </w:r>
            <w:proofErr w:type="spellEnd"/>
            <w:r w:rsidRPr="00E53CC3">
              <w:rPr>
                <w:color w:val="002060"/>
                <w:sz w:val="18"/>
                <w:szCs w:val="18"/>
              </w:rPr>
              <w:t xml:space="preserve"> 2).</w:t>
            </w:r>
          </w:p>
          <w:p w14:paraId="71C38FD1" w14:textId="77777777" w:rsidR="00464642" w:rsidRPr="00E53CC3" w:rsidRDefault="00464642">
            <w:pPr>
              <w:widowControl w:val="0"/>
              <w:spacing w:after="0" w:line="240" w:lineRule="auto"/>
              <w:jc w:val="both"/>
              <w:rPr>
                <w:color w:val="002060"/>
                <w:sz w:val="18"/>
                <w:szCs w:val="18"/>
              </w:rPr>
            </w:pPr>
          </w:p>
          <w:p w14:paraId="76712894" w14:textId="77777777" w:rsidR="00464642" w:rsidRPr="00E53CC3" w:rsidRDefault="00416049">
            <w:pPr>
              <w:widowControl w:val="0"/>
              <w:spacing w:after="0" w:line="240" w:lineRule="auto"/>
              <w:jc w:val="both"/>
              <w:rPr>
                <w:color w:val="002060"/>
                <w:sz w:val="18"/>
                <w:szCs w:val="18"/>
              </w:rPr>
            </w:pPr>
            <w:r w:rsidRPr="00E53CC3">
              <w:rPr>
                <w:color w:val="002060"/>
                <w:sz w:val="18"/>
                <w:szCs w:val="18"/>
              </w:rPr>
              <w:t>En la estrategia Guardacaminos, 16 colegios que han iniciado implementación en 8 localidades:  Bosa (6), Kennedy (2), Engativá (3), San Cristóbal (1), Antonio Nariño (1), Tunjuelito (1), Puente Aranda (1) y Ciudad Bolívar (1), beneficiando a 8.264 estudiantes en la vigencia, de acuerdo con la información suministrada por el colegio en el proceso de diagnóstico y planeación del inicio de la operación en cada institución educativa.</w:t>
            </w:r>
          </w:p>
          <w:p w14:paraId="6E2EA615"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1C6C721D" w14:textId="77777777" w:rsidTr="00E53CC3">
        <w:trPr>
          <w:trHeight w:val="420"/>
        </w:trPr>
        <w:tc>
          <w:tcPr>
            <w:tcW w:w="2445" w:type="dxa"/>
            <w:shd w:val="clear" w:color="auto" w:fill="D9D9D9" w:themeFill="background1" w:themeFillShade="D9"/>
          </w:tcPr>
          <w:p w14:paraId="1E94B3B8"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390.Mantener el tiempo promedio de viaje en los 14 corredores principales de la ciudad para todos los usuarios de la vía.</w:t>
            </w:r>
          </w:p>
        </w:tc>
        <w:tc>
          <w:tcPr>
            <w:tcW w:w="1875" w:type="dxa"/>
            <w:shd w:val="clear" w:color="auto" w:fill="D9D9D9" w:themeFill="background1" w:themeFillShade="D9"/>
          </w:tcPr>
          <w:p w14:paraId="49BF6838"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c>
          <w:tcPr>
            <w:tcW w:w="1275" w:type="dxa"/>
            <w:shd w:val="clear" w:color="auto" w:fill="D9D9D9" w:themeFill="background1" w:themeFillShade="D9"/>
          </w:tcPr>
          <w:p w14:paraId="4F0E0608"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c>
          <w:tcPr>
            <w:tcW w:w="1590" w:type="dxa"/>
            <w:shd w:val="clear" w:color="auto" w:fill="D9D9D9" w:themeFill="background1" w:themeFillShade="D9"/>
          </w:tcPr>
          <w:p w14:paraId="680A4B01"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c>
          <w:tcPr>
            <w:tcW w:w="6120" w:type="dxa"/>
            <w:shd w:val="clear" w:color="auto" w:fill="D9D9D9" w:themeFill="background1" w:themeFillShade="D9"/>
          </w:tcPr>
          <w:p w14:paraId="6DEC46FE" w14:textId="77777777" w:rsidR="00464642" w:rsidRPr="00E53CC3" w:rsidRDefault="00416049">
            <w:pPr>
              <w:widowControl w:val="0"/>
              <w:pBdr>
                <w:top w:val="nil"/>
                <w:left w:val="nil"/>
                <w:bottom w:val="nil"/>
                <w:right w:val="nil"/>
                <w:between w:val="nil"/>
              </w:pBdr>
              <w:spacing w:after="0" w:line="240" w:lineRule="auto"/>
              <w:jc w:val="both"/>
              <w:rPr>
                <w:color w:val="002060"/>
                <w:sz w:val="18"/>
                <w:szCs w:val="18"/>
              </w:rPr>
            </w:pPr>
            <w:r w:rsidRPr="00E53CC3">
              <w:rPr>
                <w:color w:val="002060"/>
                <w:sz w:val="18"/>
                <w:szCs w:val="18"/>
              </w:rPr>
              <w:t xml:space="preserve">En lo corrido de la vigencia 2024, con corte al mes de mayo se presentaron los siguientes tiempos: primer trimestre culminados con un tiempo bastante favorable de 48,63 promediando los tiempos de los meses de enero, febrero y marzo, esto debido al efecto en el mes de enero, del largo periodo de vacaciones determinado por el éxodo masivo del festivo de fin de año y puente de Reyes, aunado a la buena articulación en los 9 corredores; sin embargo en el mes de febrero con el ingreso de los colegios y las universidades se aumentó la demanda vehicular, pero se dio una estabilización en la dinámica de la ciudad, que se mejoró con la implementación de 4 pruebas piloto, que se afianzaron en el mes </w:t>
            </w:r>
            <w:r w:rsidRPr="00E53CC3">
              <w:rPr>
                <w:color w:val="002060"/>
                <w:sz w:val="18"/>
                <w:szCs w:val="18"/>
              </w:rPr>
              <w:lastRenderedPageBreak/>
              <w:t xml:space="preserve">de marzo en aras de mejorar las condiciones de movilidad del corredor carrera 7ma. como una de las medidas priorizadas y  se realizó la articulación institucional y plan detallado de gestión en vía para semana santa, puente festivo San José y eventos de gran impacto como el "Festival Estéreo picnic", en busca de minimizar los impactos de congestión en la ciudad. Para el segundo trimestre debido al </w:t>
            </w:r>
            <w:proofErr w:type="spellStart"/>
            <w:r w:rsidRPr="00E53CC3">
              <w:rPr>
                <w:color w:val="002060"/>
                <w:sz w:val="18"/>
                <w:szCs w:val="18"/>
              </w:rPr>
              <w:t>inició</w:t>
            </w:r>
            <w:proofErr w:type="spellEnd"/>
            <w:r w:rsidRPr="00E53CC3">
              <w:rPr>
                <w:color w:val="002060"/>
                <w:sz w:val="18"/>
                <w:szCs w:val="18"/>
              </w:rPr>
              <w:t xml:space="preserve"> del periodo de lluvias y la presencia constante de manifestaciones estudiantiles que generaron cierres totales en tramos de corredores tan importantes como la NQS, la Calle 26, la avenida Circunvalar con impacto en las zonas y vías subyacentes; así como cierres de estaciones de TMSA en la Av. Caracas de la Cl 26, Marly y calle 72 y cierre de calzada de TMSA  el tramo de la </w:t>
            </w:r>
            <w:proofErr w:type="spellStart"/>
            <w:r w:rsidRPr="00E53CC3">
              <w:rPr>
                <w:color w:val="002060"/>
                <w:sz w:val="18"/>
                <w:szCs w:val="18"/>
              </w:rPr>
              <w:t>Av</w:t>
            </w:r>
            <w:proofErr w:type="spellEnd"/>
            <w:r w:rsidRPr="00E53CC3">
              <w:rPr>
                <w:color w:val="002060"/>
                <w:sz w:val="18"/>
                <w:szCs w:val="18"/>
              </w:rPr>
              <w:t xml:space="preserve"> Caracas entre Calle 26 y 32 y obras en la </w:t>
            </w:r>
            <w:proofErr w:type="spellStart"/>
            <w:r w:rsidRPr="00E53CC3">
              <w:rPr>
                <w:color w:val="002060"/>
                <w:sz w:val="18"/>
                <w:szCs w:val="18"/>
              </w:rPr>
              <w:t>Av</w:t>
            </w:r>
            <w:proofErr w:type="spellEnd"/>
            <w:r w:rsidRPr="00E53CC3">
              <w:rPr>
                <w:color w:val="002060"/>
                <w:sz w:val="18"/>
                <w:szCs w:val="18"/>
              </w:rPr>
              <w:t xml:space="preserve"> Primero de Mayo, Kr 68 y </w:t>
            </w:r>
            <w:proofErr w:type="spellStart"/>
            <w:r w:rsidRPr="00E53CC3">
              <w:rPr>
                <w:color w:val="002060"/>
                <w:sz w:val="18"/>
                <w:szCs w:val="18"/>
              </w:rPr>
              <w:t>Av</w:t>
            </w:r>
            <w:proofErr w:type="spellEnd"/>
            <w:r w:rsidRPr="00E53CC3">
              <w:rPr>
                <w:color w:val="002060"/>
                <w:sz w:val="18"/>
                <w:szCs w:val="18"/>
              </w:rPr>
              <w:t xml:space="preserve"> </w:t>
            </w:r>
            <w:proofErr w:type="spellStart"/>
            <w:r w:rsidRPr="00E53CC3">
              <w:rPr>
                <w:color w:val="002060"/>
                <w:sz w:val="18"/>
                <w:szCs w:val="18"/>
              </w:rPr>
              <w:t>cali</w:t>
            </w:r>
            <w:proofErr w:type="spellEnd"/>
            <w:r w:rsidRPr="00E53CC3">
              <w:rPr>
                <w:color w:val="002060"/>
                <w:sz w:val="18"/>
                <w:szCs w:val="18"/>
              </w:rPr>
              <w:t>; todo ello generó grandes afectaciones impactando desfavorablemente el tiempo promedio de viaje; por ello como medidas de mitigación se dispuso de personal operativo para la atención de afectaciones particulares así como apoyo en  desvíos por obras de PLM  y se  generó un piloto en la Autopista norte entre Calles 168 a 209 en aras de mejorar la movilidad sobre la Autopista Norte en horas de la mañana llegando a cierre del mes de Mayo a pesar de todas las dificultades a un tiempo promedio de viaje con corte al mes de mayo fue de 51, 52 minutos; para alcanzar un tiempo promedio total de viaje para la vigencia de 50,08 pero para el cierre de PDD de 49,66 minutos cumpliendo así con la meta establecida.</w:t>
            </w:r>
          </w:p>
        </w:tc>
      </w:tr>
      <w:tr w:rsidR="00E53CC3" w:rsidRPr="00E53CC3" w14:paraId="31439861" w14:textId="77777777" w:rsidTr="00E53CC3">
        <w:trPr>
          <w:trHeight w:val="420"/>
        </w:trPr>
        <w:tc>
          <w:tcPr>
            <w:tcW w:w="2445" w:type="dxa"/>
          </w:tcPr>
          <w:p w14:paraId="0762957C"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389.Implementar y operar el Centro de Orientación a Víctimas por Siniestros Viales</w:t>
            </w:r>
          </w:p>
        </w:tc>
        <w:tc>
          <w:tcPr>
            <w:tcW w:w="1875" w:type="dxa"/>
          </w:tcPr>
          <w:p w14:paraId="6C0D6C71" w14:textId="77777777" w:rsidR="00464642" w:rsidRPr="00E53CC3" w:rsidRDefault="00416049">
            <w:pPr>
              <w:widowControl w:val="0"/>
              <w:pBdr>
                <w:top w:val="nil"/>
                <w:left w:val="nil"/>
                <w:bottom w:val="nil"/>
                <w:right w:val="nil"/>
                <w:between w:val="nil"/>
              </w:pBdr>
              <w:spacing w:after="0" w:line="240" w:lineRule="auto"/>
              <w:jc w:val="center"/>
              <w:rPr>
                <w:color w:val="002060"/>
                <w:sz w:val="18"/>
                <w:szCs w:val="18"/>
              </w:rPr>
            </w:pPr>
            <w:r w:rsidRPr="00E53CC3">
              <w:rPr>
                <w:color w:val="002060"/>
                <w:sz w:val="18"/>
                <w:szCs w:val="18"/>
              </w:rPr>
              <w:t>1</w:t>
            </w:r>
          </w:p>
        </w:tc>
        <w:tc>
          <w:tcPr>
            <w:tcW w:w="1275" w:type="dxa"/>
          </w:tcPr>
          <w:p w14:paraId="5A06264E" w14:textId="77777777" w:rsidR="00464642" w:rsidRPr="00E53CC3" w:rsidRDefault="00416049">
            <w:pPr>
              <w:widowControl w:val="0"/>
              <w:pBdr>
                <w:top w:val="nil"/>
                <w:left w:val="nil"/>
                <w:bottom w:val="nil"/>
                <w:right w:val="nil"/>
                <w:between w:val="nil"/>
              </w:pBdr>
              <w:spacing w:after="0" w:line="240" w:lineRule="auto"/>
              <w:jc w:val="center"/>
              <w:rPr>
                <w:color w:val="002060"/>
                <w:sz w:val="18"/>
                <w:szCs w:val="18"/>
              </w:rPr>
            </w:pPr>
            <w:r w:rsidRPr="00E53CC3">
              <w:rPr>
                <w:color w:val="002060"/>
                <w:sz w:val="18"/>
                <w:szCs w:val="18"/>
              </w:rPr>
              <w:t>1</w:t>
            </w:r>
          </w:p>
        </w:tc>
        <w:tc>
          <w:tcPr>
            <w:tcW w:w="1590" w:type="dxa"/>
          </w:tcPr>
          <w:p w14:paraId="38F876E5" w14:textId="77777777" w:rsidR="00464642" w:rsidRPr="00E53CC3" w:rsidRDefault="00416049">
            <w:pPr>
              <w:widowControl w:val="0"/>
              <w:pBdr>
                <w:top w:val="nil"/>
                <w:left w:val="nil"/>
                <w:bottom w:val="nil"/>
                <w:right w:val="nil"/>
                <w:between w:val="nil"/>
              </w:pBdr>
              <w:spacing w:after="0" w:line="240" w:lineRule="auto"/>
              <w:jc w:val="center"/>
              <w:rPr>
                <w:color w:val="002060"/>
                <w:sz w:val="18"/>
                <w:szCs w:val="18"/>
              </w:rPr>
            </w:pPr>
            <w:r w:rsidRPr="00E53CC3">
              <w:rPr>
                <w:color w:val="002060"/>
                <w:sz w:val="18"/>
                <w:szCs w:val="18"/>
              </w:rPr>
              <w:t>100%</w:t>
            </w:r>
          </w:p>
        </w:tc>
        <w:tc>
          <w:tcPr>
            <w:tcW w:w="6120" w:type="dxa"/>
          </w:tcPr>
          <w:p w14:paraId="2EF612FF" w14:textId="77777777" w:rsidR="00464642" w:rsidRPr="00E53CC3" w:rsidRDefault="00416049">
            <w:pPr>
              <w:widowControl w:val="0"/>
              <w:pBdr>
                <w:top w:val="nil"/>
                <w:left w:val="nil"/>
                <w:bottom w:val="nil"/>
                <w:right w:val="nil"/>
                <w:between w:val="nil"/>
              </w:pBdr>
              <w:spacing w:after="0" w:line="240" w:lineRule="auto"/>
              <w:jc w:val="both"/>
              <w:rPr>
                <w:color w:val="002060"/>
                <w:sz w:val="18"/>
                <w:szCs w:val="18"/>
              </w:rPr>
            </w:pPr>
            <w:r w:rsidRPr="00E53CC3">
              <w:rPr>
                <w:color w:val="002060"/>
                <w:sz w:val="18"/>
                <w:szCs w:val="18"/>
              </w:rPr>
              <w:t xml:space="preserve">En el Centro de Orientación a Víctimas de Siniestros Viales desde el inicio de la operación (diciembre de 2020) a 30 de mayo de 2024, se atendieron 1960 personas quienes recibieron orientación de acogida, social, jurídica y psicológica. De este número de personas 528 fueron conductores 271 ciclistas, 272 peatones, 215 pasajeros y 704 motociclistas. En el marco del mejoramiento del servicio durante los meses de abril y mayo del año se realizaron acciones enfocadas al cumplimiento del MIPG de la entidad y al alistamiento de la certificación ISO 9001-2015 para el proceso de ORVI. Se realiza la actualización del Manual Operativo de ORVI, cumpliendo las necesidades del centro de orientación, se formalizaron los documentos requeridos para la atención a víctimas, cumpliendo lo estipulado dentro el modelo integrado de planeación y gestión de la entidad. Se realizó la estructuración del centro de orientación a víctimas de siniestros viales directamente con la </w:t>
            </w:r>
            <w:proofErr w:type="gramStart"/>
            <w:r w:rsidRPr="00E53CC3">
              <w:rPr>
                <w:color w:val="002060"/>
                <w:sz w:val="18"/>
                <w:szCs w:val="18"/>
              </w:rPr>
              <w:t>Secretaria</w:t>
            </w:r>
            <w:proofErr w:type="gramEnd"/>
            <w:r w:rsidRPr="00E53CC3">
              <w:rPr>
                <w:color w:val="002060"/>
                <w:sz w:val="18"/>
                <w:szCs w:val="18"/>
              </w:rPr>
              <w:t xml:space="preserve"> de Movilidad, estructurando un equipo de </w:t>
            </w:r>
            <w:r w:rsidRPr="00E53CC3">
              <w:rPr>
                <w:color w:val="002060"/>
                <w:sz w:val="18"/>
                <w:szCs w:val="18"/>
              </w:rPr>
              <w:lastRenderedPageBreak/>
              <w:t>profesionales y una estructura propia, para atender de manera directa a la víctimas de siniestros viales. Las instalaciones locativas tuvieron un cambio importante ya que para estos meses se adecuaron las instalaciones conforme a las necesidades del centro. Se incrementó el número de ciudadanos/as que fueron atendidos en el centro. Respecto a las acciones formativas desde el inicio de la operación (diciembre de 2020) a 30 de mayo de 2024, Se realizaron 519 capacitaciones, beneficiando con esta estrategia a un total de 14258 ciudadanos/as, las cuales estuvieron ajustadas a las demandas de las diferentes entidades públicas y privadas en términos de la formación alrededor de temas vinculados con la seguridad vial. Los principales temas solicitados por los grupos de interés en el área de formación de ORVI son Acciones de primer respondiente ante siniestros viales, Primeros auxilios psicológicos, Simulacro de siniestro vial, se están creando estrategias para que todos/as ciudadanos que tengan corresponsabilidad en vía se formen con el equipo de formación de ORVI, llegamos a la PONAL donde de manera muy receptiva atendieron cada uno de los procesos formativos brindados.</w:t>
            </w:r>
          </w:p>
        </w:tc>
      </w:tr>
      <w:tr w:rsidR="00E53CC3" w:rsidRPr="00E53CC3" w14:paraId="68679054" w14:textId="77777777" w:rsidTr="00E53CC3">
        <w:trPr>
          <w:trHeight w:val="420"/>
        </w:trPr>
        <w:tc>
          <w:tcPr>
            <w:tcW w:w="2445" w:type="dxa"/>
            <w:shd w:val="clear" w:color="auto" w:fill="D9D9D9" w:themeFill="background1" w:themeFillShade="D9"/>
          </w:tcPr>
          <w:p w14:paraId="09398F9E"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373.Reducir en 20% el número de víctimas fatales por siniestros viales para cada uno de los actores de la vía</w:t>
            </w:r>
          </w:p>
        </w:tc>
        <w:tc>
          <w:tcPr>
            <w:tcW w:w="1875" w:type="dxa"/>
            <w:shd w:val="clear" w:color="auto" w:fill="D9D9D9" w:themeFill="background1" w:themeFillShade="D9"/>
          </w:tcPr>
          <w:p w14:paraId="004753BB"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404</w:t>
            </w:r>
          </w:p>
        </w:tc>
        <w:tc>
          <w:tcPr>
            <w:tcW w:w="1275" w:type="dxa"/>
            <w:shd w:val="clear" w:color="auto" w:fill="D9D9D9" w:themeFill="background1" w:themeFillShade="D9"/>
          </w:tcPr>
          <w:p w14:paraId="4B63CA4E"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554</w:t>
            </w:r>
          </w:p>
        </w:tc>
        <w:tc>
          <w:tcPr>
            <w:tcW w:w="1590" w:type="dxa"/>
            <w:shd w:val="clear" w:color="auto" w:fill="D9D9D9" w:themeFill="background1" w:themeFillShade="D9"/>
          </w:tcPr>
          <w:p w14:paraId="4E54F3F8"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72.9%</w:t>
            </w:r>
          </w:p>
        </w:tc>
        <w:tc>
          <w:tcPr>
            <w:tcW w:w="6120" w:type="dxa"/>
            <w:shd w:val="clear" w:color="auto" w:fill="D9D9D9" w:themeFill="background1" w:themeFillShade="D9"/>
          </w:tcPr>
          <w:p w14:paraId="2C204CF5" w14:textId="77777777" w:rsidR="00464642" w:rsidRPr="00E53CC3" w:rsidRDefault="00416049">
            <w:pPr>
              <w:widowControl w:val="0"/>
              <w:spacing w:after="0" w:line="240" w:lineRule="auto"/>
              <w:rPr>
                <w:color w:val="002060"/>
                <w:sz w:val="18"/>
                <w:szCs w:val="18"/>
              </w:rPr>
            </w:pPr>
            <w:r w:rsidRPr="00E53CC3">
              <w:rPr>
                <w:color w:val="002060"/>
                <w:sz w:val="18"/>
                <w:szCs w:val="18"/>
              </w:rPr>
              <w:t>Se lograron realizar acciones del Plan Distrital de Seguridad Vial (PDSV) que impactan positivamente, contribuyendo a la prevención de siniestros viales y evitando mayores pérdidas humanas, a pesar de que el número de víctimas por siniestros viales en la ciudad aumentó. A continuación, se presentan algunas de estas acciones:</w:t>
            </w:r>
          </w:p>
          <w:p w14:paraId="6E352100" w14:textId="77777777" w:rsidR="00464642" w:rsidRPr="00E53CC3" w:rsidRDefault="00464642">
            <w:pPr>
              <w:widowControl w:val="0"/>
              <w:spacing w:after="0" w:line="240" w:lineRule="auto"/>
              <w:rPr>
                <w:color w:val="002060"/>
                <w:sz w:val="18"/>
                <w:szCs w:val="18"/>
              </w:rPr>
            </w:pPr>
          </w:p>
          <w:p w14:paraId="07400094" w14:textId="77777777" w:rsidR="00464642" w:rsidRPr="00E53CC3" w:rsidRDefault="00416049">
            <w:pPr>
              <w:widowControl w:val="0"/>
              <w:spacing w:after="0" w:line="240" w:lineRule="auto"/>
              <w:rPr>
                <w:color w:val="002060"/>
                <w:sz w:val="18"/>
                <w:szCs w:val="18"/>
              </w:rPr>
            </w:pPr>
            <w:r w:rsidRPr="00E53CC3">
              <w:rPr>
                <w:color w:val="002060"/>
                <w:sz w:val="18"/>
                <w:szCs w:val="18"/>
              </w:rPr>
              <w:t>•Actualización PDSV: El PDSV 2023-2032, adoptado mediante Decreto Distrital 494 de 2023, apuesta por la adopción y puesta en práctica el enfoque del Sistema Seguro dentro del que se circunscribe la Visión Cero, con el fin de abordar la seguridad vial desde una aproximación ética y holística, y dar mayor prioridad en la materia dentro del Sistema de movilidad de la ciudad. Es por ello por lo que, el nuevo PDSV se armoniza con la política nacional de seguridad vial PNSV 2022-2031 y las mejores prácticas y lineamientos globales plasmados en el Plan Mundial</w:t>
            </w:r>
          </w:p>
          <w:p w14:paraId="3D62DFBE" w14:textId="77777777" w:rsidR="00464642" w:rsidRPr="00E53CC3" w:rsidRDefault="00416049">
            <w:pPr>
              <w:widowControl w:val="0"/>
              <w:spacing w:after="0" w:line="240" w:lineRule="auto"/>
              <w:rPr>
                <w:color w:val="002060"/>
                <w:sz w:val="18"/>
                <w:szCs w:val="18"/>
              </w:rPr>
            </w:pPr>
            <w:r w:rsidRPr="00E53CC3">
              <w:rPr>
                <w:color w:val="002060"/>
                <w:sz w:val="18"/>
                <w:szCs w:val="18"/>
              </w:rPr>
              <w:t xml:space="preserve">•Implementación del Plan Distrital del Motociclista, mediante el cual se adelantaron jornadas de curso teórico prácticos para motociclistas (CTPM), mes de la prevención vial, jornadas locales de seguridad vial para motociclistas </w:t>
            </w:r>
            <w:r w:rsidRPr="00E53CC3">
              <w:rPr>
                <w:color w:val="002060"/>
                <w:sz w:val="18"/>
                <w:szCs w:val="18"/>
              </w:rPr>
              <w:lastRenderedPageBreak/>
              <w:t xml:space="preserve">Colombia, Amazon Web </w:t>
            </w:r>
            <w:proofErr w:type="spellStart"/>
            <w:r w:rsidRPr="00E53CC3">
              <w:rPr>
                <w:color w:val="002060"/>
                <w:sz w:val="18"/>
                <w:szCs w:val="18"/>
              </w:rPr>
              <w:t>Services</w:t>
            </w:r>
            <w:proofErr w:type="spellEnd"/>
            <w:r w:rsidRPr="00E53CC3">
              <w:rPr>
                <w:color w:val="002060"/>
                <w:sz w:val="18"/>
                <w:szCs w:val="18"/>
              </w:rPr>
              <w:t xml:space="preserve">, y </w:t>
            </w:r>
            <w:proofErr w:type="spellStart"/>
            <w:r w:rsidRPr="00E53CC3">
              <w:rPr>
                <w:color w:val="002060"/>
                <w:sz w:val="18"/>
                <w:szCs w:val="18"/>
              </w:rPr>
              <w:t>Sharecollab</w:t>
            </w:r>
            <w:proofErr w:type="spellEnd"/>
            <w:r w:rsidRPr="00E53CC3">
              <w:rPr>
                <w:color w:val="002060"/>
                <w:sz w:val="18"/>
                <w:szCs w:val="18"/>
              </w:rPr>
              <w:t>.</w:t>
            </w:r>
          </w:p>
          <w:p w14:paraId="152E5BC9" w14:textId="77777777" w:rsidR="00464642" w:rsidRPr="00E53CC3" w:rsidRDefault="00416049">
            <w:pPr>
              <w:widowControl w:val="0"/>
              <w:spacing w:after="0" w:line="240" w:lineRule="auto"/>
              <w:rPr>
                <w:color w:val="002060"/>
                <w:sz w:val="18"/>
                <w:szCs w:val="18"/>
              </w:rPr>
            </w:pPr>
            <w:r w:rsidRPr="00E53CC3">
              <w:rPr>
                <w:color w:val="002060"/>
                <w:sz w:val="18"/>
                <w:szCs w:val="18"/>
              </w:rPr>
              <w:t xml:space="preserve">•Libro digital: Se elaboró y publicó el libro "Soluciones innovadoras y uso de Tecnología para la Seguridad vial" </w:t>
            </w:r>
          </w:p>
          <w:p w14:paraId="2E83E6BE" w14:textId="77777777" w:rsidR="00464642" w:rsidRPr="00E53CC3" w:rsidRDefault="00416049">
            <w:pPr>
              <w:widowControl w:val="0"/>
              <w:spacing w:after="0" w:line="240" w:lineRule="auto"/>
              <w:rPr>
                <w:color w:val="002060"/>
                <w:sz w:val="18"/>
                <w:szCs w:val="18"/>
              </w:rPr>
            </w:pPr>
            <w:r w:rsidRPr="00E53CC3">
              <w:rPr>
                <w:color w:val="002060"/>
                <w:sz w:val="18"/>
                <w:szCs w:val="18"/>
              </w:rPr>
              <w:t>•Barrios Vitales: Se apoyó en el desarrollo de los DTS e implementación de los Barrios de San Felipe y Las Cruces en lo relacionado con el diagnóstico de seguridad vial y las propuestas de gestión y pacificación del tránsito propia de estos proyectos. Se lideró el diagnóstico, estructuración del DTS y diseño del barrio Vital San Carlos de Tunjuelito.</w:t>
            </w:r>
          </w:p>
          <w:p w14:paraId="1537CDC2" w14:textId="77777777" w:rsidR="00464642" w:rsidRPr="00E53CC3" w:rsidRDefault="00416049">
            <w:pPr>
              <w:widowControl w:val="0"/>
              <w:spacing w:after="0" w:line="240" w:lineRule="auto"/>
              <w:rPr>
                <w:color w:val="002060"/>
                <w:sz w:val="18"/>
                <w:szCs w:val="18"/>
              </w:rPr>
            </w:pPr>
            <w:r w:rsidRPr="00E53CC3">
              <w:rPr>
                <w:color w:val="002060"/>
                <w:sz w:val="18"/>
                <w:szCs w:val="18"/>
              </w:rPr>
              <w:t>•Actualización del PMSS: Se acompañó y apoyó la actualización de este instrumento, transversalizando el enfoque de sistema seguro y la visión cero en su visión, las metas y objetivos, así como en la construcción de proyectos relacionados con el mejoramiento de la movilidad segura en el distrito</w:t>
            </w:r>
          </w:p>
          <w:p w14:paraId="18DD50F0" w14:textId="77777777" w:rsidR="00464642" w:rsidRPr="00E53CC3" w:rsidRDefault="00416049">
            <w:pPr>
              <w:widowControl w:val="0"/>
              <w:spacing w:after="0" w:line="240" w:lineRule="auto"/>
              <w:rPr>
                <w:color w:val="002060"/>
                <w:sz w:val="18"/>
                <w:szCs w:val="18"/>
              </w:rPr>
            </w:pPr>
            <w:r w:rsidRPr="00E53CC3">
              <w:rPr>
                <w:color w:val="002060"/>
                <w:sz w:val="18"/>
                <w:szCs w:val="18"/>
              </w:rPr>
              <w:t xml:space="preserve">•Proyecto </w:t>
            </w:r>
            <w:proofErr w:type="spellStart"/>
            <w:r w:rsidRPr="00E53CC3">
              <w:rPr>
                <w:color w:val="002060"/>
                <w:sz w:val="18"/>
                <w:szCs w:val="18"/>
              </w:rPr>
              <w:t>CycleRap</w:t>
            </w:r>
            <w:proofErr w:type="spellEnd"/>
            <w:r w:rsidRPr="00E53CC3">
              <w:rPr>
                <w:color w:val="002060"/>
                <w:sz w:val="18"/>
                <w:szCs w:val="18"/>
              </w:rPr>
              <w:t xml:space="preserve">: Desarrollo junto con el aliado internacional </w:t>
            </w:r>
            <w:proofErr w:type="spellStart"/>
            <w:r w:rsidRPr="00E53CC3">
              <w:rPr>
                <w:color w:val="002060"/>
                <w:sz w:val="18"/>
                <w:szCs w:val="18"/>
              </w:rPr>
              <w:t>iRAP</w:t>
            </w:r>
            <w:proofErr w:type="spellEnd"/>
            <w:r w:rsidRPr="00E53CC3">
              <w:rPr>
                <w:color w:val="002060"/>
                <w:sz w:val="18"/>
                <w:szCs w:val="18"/>
              </w:rPr>
              <w:t xml:space="preserve"> del proyecto para realizar la calificación en seguridad vial de 50 km de corredores con tránsito de ciclistas en la ciudad.</w:t>
            </w:r>
          </w:p>
          <w:p w14:paraId="7D76C945" w14:textId="77777777" w:rsidR="00464642" w:rsidRPr="00E53CC3" w:rsidRDefault="00416049">
            <w:pPr>
              <w:widowControl w:val="0"/>
              <w:spacing w:after="0" w:line="240" w:lineRule="auto"/>
              <w:rPr>
                <w:color w:val="002060"/>
                <w:sz w:val="18"/>
                <w:szCs w:val="18"/>
              </w:rPr>
            </w:pPr>
            <w:r w:rsidRPr="00E53CC3">
              <w:rPr>
                <w:color w:val="002060"/>
                <w:sz w:val="18"/>
                <w:szCs w:val="18"/>
              </w:rPr>
              <w:t xml:space="preserve">•Durante este cuatrienio se logró desarrollar 4 ediciones de la Semana de Seguridad Vial y la celebración del día del </w:t>
            </w:r>
            <w:proofErr w:type="spellStart"/>
            <w:r w:rsidRPr="00E53CC3">
              <w:rPr>
                <w:color w:val="002060"/>
                <w:sz w:val="18"/>
                <w:szCs w:val="18"/>
              </w:rPr>
              <w:t>Motociclistal</w:t>
            </w:r>
            <w:proofErr w:type="spellEnd"/>
            <w:r w:rsidRPr="00E53CC3">
              <w:rPr>
                <w:color w:val="002060"/>
                <w:sz w:val="18"/>
                <w:szCs w:val="18"/>
              </w:rPr>
              <w:t>, la cual es un espacio que convoca a expertos y líderes mundiales en materia de seguridad vial, e invita a la ciudadanía a participar en diferentes actividades gratuitas para aprender sobre la importancia de una movilidad más segura.</w:t>
            </w:r>
          </w:p>
          <w:p w14:paraId="51146436" w14:textId="77777777" w:rsidR="00464642" w:rsidRPr="00E53CC3" w:rsidRDefault="00416049">
            <w:pPr>
              <w:widowControl w:val="0"/>
              <w:spacing w:after="0" w:line="240" w:lineRule="auto"/>
              <w:rPr>
                <w:color w:val="002060"/>
                <w:sz w:val="18"/>
                <w:szCs w:val="18"/>
              </w:rPr>
            </w:pPr>
            <w:r w:rsidRPr="00E53CC3">
              <w:rPr>
                <w:color w:val="002060"/>
                <w:sz w:val="18"/>
                <w:szCs w:val="18"/>
              </w:rPr>
              <w:t>•Formulación de estrategia de gestión de velocidad en vías arteriales mediante intervenciones infraestructura - Piloto resaltos parabólicos (Apoyo de cooperación BIRGS-WRI)</w:t>
            </w:r>
          </w:p>
          <w:p w14:paraId="1655471C" w14:textId="77777777" w:rsidR="00464642" w:rsidRPr="00E53CC3" w:rsidRDefault="00416049">
            <w:pPr>
              <w:widowControl w:val="0"/>
              <w:spacing w:after="0" w:line="240" w:lineRule="auto"/>
              <w:rPr>
                <w:color w:val="002060"/>
                <w:sz w:val="18"/>
                <w:szCs w:val="18"/>
              </w:rPr>
            </w:pPr>
            <w:r w:rsidRPr="00E53CC3">
              <w:rPr>
                <w:color w:val="002060"/>
                <w:sz w:val="18"/>
                <w:szCs w:val="18"/>
              </w:rPr>
              <w:t>•Se logró el acompañamiento técnico para el desarrollo de inspecciones de seguridad vial (ISV) en tramos y/o puntos críticos de siniestralidad vial, como una estrategia que busca la reducción en las cifras de siniestralidad vial en la ciudad y el mejoramiento de las condiciones de seguridad vial para los usuarios viales.</w:t>
            </w:r>
          </w:p>
          <w:p w14:paraId="6095A854"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7B91196B" w14:textId="77777777" w:rsidTr="00E53CC3">
        <w:trPr>
          <w:trHeight w:val="420"/>
        </w:trPr>
        <w:tc>
          <w:tcPr>
            <w:tcW w:w="2445" w:type="dxa"/>
          </w:tcPr>
          <w:p w14:paraId="6818E358"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374.Aumentar en 20% la oferta de transporte público del SITP</w:t>
            </w:r>
          </w:p>
        </w:tc>
        <w:tc>
          <w:tcPr>
            <w:tcW w:w="1875" w:type="dxa"/>
          </w:tcPr>
          <w:p w14:paraId="1DD69856"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2%</w:t>
            </w:r>
          </w:p>
        </w:tc>
        <w:tc>
          <w:tcPr>
            <w:tcW w:w="1275" w:type="dxa"/>
          </w:tcPr>
          <w:p w14:paraId="4C9EEE43"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2%</w:t>
            </w:r>
          </w:p>
        </w:tc>
        <w:tc>
          <w:tcPr>
            <w:tcW w:w="1590" w:type="dxa"/>
          </w:tcPr>
          <w:p w14:paraId="08276413"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tcPr>
          <w:p w14:paraId="6A36D74F" w14:textId="77777777" w:rsidR="00464642" w:rsidRPr="00E53CC3" w:rsidRDefault="00416049">
            <w:pPr>
              <w:widowControl w:val="0"/>
              <w:spacing w:after="0" w:line="240" w:lineRule="auto"/>
              <w:rPr>
                <w:color w:val="002060"/>
                <w:sz w:val="18"/>
                <w:szCs w:val="18"/>
              </w:rPr>
            </w:pPr>
            <w:r w:rsidRPr="00E53CC3">
              <w:rPr>
                <w:color w:val="002060"/>
                <w:sz w:val="18"/>
                <w:szCs w:val="18"/>
              </w:rPr>
              <w:t>Durante el cuatrienio se da cumplimento al indicador 627 con las siguientes actividades:</w:t>
            </w:r>
          </w:p>
          <w:p w14:paraId="54EEEA8F" w14:textId="77777777" w:rsidR="00464642" w:rsidRPr="00E53CC3" w:rsidRDefault="00416049">
            <w:pPr>
              <w:widowControl w:val="0"/>
              <w:spacing w:after="0" w:line="240" w:lineRule="auto"/>
              <w:rPr>
                <w:color w:val="002060"/>
                <w:sz w:val="18"/>
                <w:szCs w:val="18"/>
              </w:rPr>
            </w:pPr>
            <w:proofErr w:type="gramStart"/>
            <w:r w:rsidRPr="00E53CC3">
              <w:rPr>
                <w:color w:val="002060"/>
                <w:sz w:val="18"/>
                <w:szCs w:val="18"/>
              </w:rPr>
              <w:t>SITP  Provisional</w:t>
            </w:r>
            <w:proofErr w:type="gramEnd"/>
            <w:r w:rsidRPr="00E53CC3">
              <w:rPr>
                <w:color w:val="002060"/>
                <w:sz w:val="18"/>
                <w:szCs w:val="18"/>
              </w:rPr>
              <w:t xml:space="preserve"> Cumplimiento al cronograma de desmonte del SITP Provisional, el cual finalizo el 31 diciembre de 21 para el permiso temporal y transitorio de </w:t>
            </w:r>
            <w:r w:rsidRPr="00E53CC3">
              <w:rPr>
                <w:color w:val="002060"/>
                <w:sz w:val="18"/>
                <w:szCs w:val="18"/>
              </w:rPr>
              <w:lastRenderedPageBreak/>
              <w:t>acuerdo con la Res. 381/19. Se desmontaron 135 servicios que operaban bajo el esquema de provisionalidad, sumando más de 450.000 pasajeros a la demanda del SITP</w:t>
            </w:r>
          </w:p>
          <w:p w14:paraId="6CA94943" w14:textId="77777777" w:rsidR="00464642" w:rsidRPr="00E53CC3" w:rsidRDefault="00416049">
            <w:pPr>
              <w:widowControl w:val="0"/>
              <w:spacing w:after="0" w:line="240" w:lineRule="auto"/>
              <w:rPr>
                <w:color w:val="002060"/>
                <w:sz w:val="18"/>
                <w:szCs w:val="18"/>
              </w:rPr>
            </w:pPr>
            <w:r w:rsidRPr="00E53CC3">
              <w:rPr>
                <w:color w:val="002060"/>
                <w:sz w:val="18"/>
                <w:szCs w:val="18"/>
              </w:rPr>
              <w:t xml:space="preserve">En la vigencia de los </w:t>
            </w:r>
            <w:proofErr w:type="spellStart"/>
            <w:r w:rsidRPr="00E53CC3">
              <w:rPr>
                <w:color w:val="002060"/>
                <w:sz w:val="18"/>
                <w:szCs w:val="18"/>
              </w:rPr>
              <w:t>Detos</w:t>
            </w:r>
            <w:proofErr w:type="spellEnd"/>
            <w:r w:rsidRPr="00E53CC3">
              <w:rPr>
                <w:color w:val="002060"/>
                <w:sz w:val="18"/>
                <w:szCs w:val="18"/>
              </w:rPr>
              <w:t xml:space="preserve">. Distritales 580 de 2014, 251 de 17, 068 de 19, y 557 de 21 se han </w:t>
            </w:r>
            <w:proofErr w:type="spellStart"/>
            <w:r w:rsidRPr="00E53CC3">
              <w:rPr>
                <w:color w:val="002060"/>
                <w:sz w:val="18"/>
                <w:szCs w:val="18"/>
              </w:rPr>
              <w:t>chatarrizado</w:t>
            </w:r>
            <w:proofErr w:type="spellEnd"/>
            <w:r w:rsidRPr="00E53CC3">
              <w:rPr>
                <w:color w:val="002060"/>
                <w:sz w:val="18"/>
                <w:szCs w:val="18"/>
              </w:rPr>
              <w:t xml:space="preserve"> alrededor de 5.600 vehículos, que no cumplían con las condiciones requeridas para prestar el servicio de transporte</w:t>
            </w:r>
          </w:p>
          <w:p w14:paraId="356C7CF6" w14:textId="77777777" w:rsidR="00464642" w:rsidRPr="00E53CC3" w:rsidRDefault="00416049">
            <w:pPr>
              <w:widowControl w:val="0"/>
              <w:spacing w:after="0" w:line="240" w:lineRule="auto"/>
              <w:rPr>
                <w:color w:val="002060"/>
                <w:sz w:val="18"/>
                <w:szCs w:val="18"/>
              </w:rPr>
            </w:pPr>
            <w:r w:rsidRPr="00E53CC3">
              <w:rPr>
                <w:color w:val="002060"/>
                <w:sz w:val="18"/>
                <w:szCs w:val="18"/>
              </w:rPr>
              <w:t xml:space="preserve">Ruralidad: estudios DPM-ET-10-21 Diagnostico de </w:t>
            </w:r>
            <w:proofErr w:type="spellStart"/>
            <w:r w:rsidRPr="00E53CC3">
              <w:rPr>
                <w:color w:val="002060"/>
                <w:sz w:val="18"/>
                <w:szCs w:val="18"/>
              </w:rPr>
              <w:t>Tte</w:t>
            </w:r>
            <w:proofErr w:type="spellEnd"/>
            <w:r w:rsidRPr="00E53CC3">
              <w:rPr>
                <w:color w:val="002060"/>
                <w:sz w:val="18"/>
                <w:szCs w:val="18"/>
              </w:rPr>
              <w:t xml:space="preserve"> público en zonas rurales, ampliación de la oferta en la localidad de Sumapaz</w:t>
            </w:r>
          </w:p>
          <w:p w14:paraId="1E02B951" w14:textId="77777777" w:rsidR="00464642" w:rsidRPr="00E53CC3" w:rsidRDefault="00416049">
            <w:pPr>
              <w:widowControl w:val="0"/>
              <w:spacing w:after="0" w:line="240" w:lineRule="auto"/>
              <w:rPr>
                <w:color w:val="002060"/>
                <w:sz w:val="18"/>
                <w:szCs w:val="18"/>
              </w:rPr>
            </w:pPr>
            <w:r w:rsidRPr="00E53CC3">
              <w:rPr>
                <w:color w:val="002060"/>
                <w:sz w:val="18"/>
                <w:szCs w:val="18"/>
              </w:rPr>
              <w:t xml:space="preserve">STPUB-ET-10-22 Estructuración técnica para la implementación de transporte público de pasajeros en zonas rurales de Bogotá. Generando propuestas de esquemas operacionales para estructurar el proyecto de implementación de transporte público de pasajeros en zonas rurales de Bogotá, bajo el marco de la Política Pública de Ruralidad y el Programa de Desarrollo con Enfoque Territorial en Zona </w:t>
            </w:r>
            <w:proofErr w:type="gramStart"/>
            <w:r w:rsidRPr="00E53CC3">
              <w:rPr>
                <w:color w:val="002060"/>
                <w:sz w:val="18"/>
                <w:szCs w:val="18"/>
              </w:rPr>
              <w:t>Rural  Sumapaz</w:t>
            </w:r>
            <w:proofErr w:type="gramEnd"/>
          </w:p>
          <w:p w14:paraId="698C2AFF" w14:textId="77777777" w:rsidR="00464642" w:rsidRPr="00E53CC3" w:rsidRDefault="00416049">
            <w:pPr>
              <w:widowControl w:val="0"/>
              <w:spacing w:after="0" w:line="240" w:lineRule="auto"/>
              <w:rPr>
                <w:color w:val="002060"/>
                <w:sz w:val="18"/>
                <w:szCs w:val="18"/>
              </w:rPr>
            </w:pPr>
            <w:r w:rsidRPr="00E53CC3">
              <w:rPr>
                <w:color w:val="002060"/>
                <w:sz w:val="18"/>
                <w:szCs w:val="18"/>
              </w:rPr>
              <w:t xml:space="preserve">Carriles preferenciales Se implementaron 15,8 km-carril en los corredores de la Av. Boyacá entre avenida 1° de Mayo </w:t>
            </w:r>
            <w:proofErr w:type="gramStart"/>
            <w:r w:rsidRPr="00E53CC3">
              <w:rPr>
                <w:color w:val="002060"/>
                <w:sz w:val="18"/>
                <w:szCs w:val="18"/>
              </w:rPr>
              <w:t xml:space="preserve">y  </w:t>
            </w:r>
            <w:proofErr w:type="spellStart"/>
            <w:r w:rsidRPr="00E53CC3">
              <w:rPr>
                <w:color w:val="002060"/>
                <w:sz w:val="18"/>
                <w:szCs w:val="18"/>
              </w:rPr>
              <w:t>Av</w:t>
            </w:r>
            <w:proofErr w:type="spellEnd"/>
            <w:proofErr w:type="gramEnd"/>
            <w:r w:rsidRPr="00E53CC3">
              <w:rPr>
                <w:color w:val="002060"/>
                <w:sz w:val="18"/>
                <w:szCs w:val="18"/>
              </w:rPr>
              <w:t xml:space="preserve"> Villavicencio y en la calle 19 entre la Av. Caracas y la Av. NQS. Se estableció una estrategia de priorización de corredores, manejo de la medida a futuro y condiciones de operación, </w:t>
            </w:r>
            <w:proofErr w:type="gramStart"/>
            <w:r w:rsidRPr="00E53CC3">
              <w:rPr>
                <w:color w:val="002060"/>
                <w:sz w:val="18"/>
                <w:szCs w:val="18"/>
              </w:rPr>
              <w:t>con  estudios</w:t>
            </w:r>
            <w:proofErr w:type="gramEnd"/>
            <w:r w:rsidRPr="00E53CC3">
              <w:rPr>
                <w:color w:val="002060"/>
                <w:sz w:val="18"/>
                <w:szCs w:val="18"/>
              </w:rPr>
              <w:t xml:space="preserve"> técnicos</w:t>
            </w:r>
          </w:p>
          <w:p w14:paraId="415A58EB" w14:textId="77777777" w:rsidR="00464642" w:rsidRPr="00E53CC3" w:rsidRDefault="00416049">
            <w:pPr>
              <w:widowControl w:val="0"/>
              <w:spacing w:after="0" w:line="240" w:lineRule="auto"/>
              <w:rPr>
                <w:color w:val="002060"/>
                <w:sz w:val="18"/>
                <w:szCs w:val="18"/>
              </w:rPr>
            </w:pPr>
            <w:proofErr w:type="spellStart"/>
            <w:r w:rsidRPr="00E53CC3">
              <w:rPr>
                <w:color w:val="002060"/>
                <w:sz w:val="18"/>
                <w:szCs w:val="18"/>
              </w:rPr>
              <w:t>TTe</w:t>
            </w:r>
            <w:proofErr w:type="spellEnd"/>
            <w:r w:rsidRPr="00E53CC3">
              <w:rPr>
                <w:color w:val="002060"/>
                <w:sz w:val="18"/>
                <w:szCs w:val="18"/>
              </w:rPr>
              <w:t xml:space="preserve"> Especial Pasajeros Evaluación de la posibilidad de establecer una nueva excepción a la restricción de circulación interpuesta por el </w:t>
            </w:r>
            <w:proofErr w:type="spellStart"/>
            <w:r w:rsidRPr="00E53CC3">
              <w:rPr>
                <w:color w:val="002060"/>
                <w:sz w:val="18"/>
                <w:szCs w:val="18"/>
              </w:rPr>
              <w:t>Dec</w:t>
            </w:r>
            <w:proofErr w:type="spellEnd"/>
            <w:r w:rsidRPr="00E53CC3">
              <w:rPr>
                <w:color w:val="002060"/>
                <w:sz w:val="18"/>
                <w:szCs w:val="18"/>
              </w:rPr>
              <w:t>. 248 /2016</w:t>
            </w:r>
          </w:p>
          <w:p w14:paraId="421218DF" w14:textId="77777777" w:rsidR="00464642" w:rsidRPr="00E53CC3" w:rsidRDefault="00416049">
            <w:pPr>
              <w:widowControl w:val="0"/>
              <w:spacing w:after="0" w:line="240" w:lineRule="auto"/>
              <w:rPr>
                <w:color w:val="002060"/>
                <w:sz w:val="18"/>
                <w:szCs w:val="18"/>
              </w:rPr>
            </w:pPr>
            <w:r w:rsidRPr="00E53CC3">
              <w:rPr>
                <w:color w:val="002060"/>
                <w:sz w:val="18"/>
                <w:szCs w:val="18"/>
              </w:rPr>
              <w:t xml:space="preserve">Plan Movilidad Accesible Realización de 18 mesas de seguimiento a la tutela -Res 246/15 con la participación de Transmilenio S.A., IDU, DADEP, UMV, </w:t>
            </w:r>
            <w:proofErr w:type="spellStart"/>
            <w:proofErr w:type="gramStart"/>
            <w:r w:rsidRPr="00E53CC3">
              <w:rPr>
                <w:color w:val="002060"/>
                <w:sz w:val="18"/>
                <w:szCs w:val="18"/>
              </w:rPr>
              <w:t>FDL,Alta</w:t>
            </w:r>
            <w:proofErr w:type="spellEnd"/>
            <w:proofErr w:type="gramEnd"/>
            <w:r w:rsidRPr="00E53CC3">
              <w:rPr>
                <w:color w:val="002060"/>
                <w:sz w:val="18"/>
                <w:szCs w:val="18"/>
              </w:rPr>
              <w:t xml:space="preserve"> Consejería de la Tics - </w:t>
            </w:r>
            <w:proofErr w:type="spellStart"/>
            <w:r w:rsidRPr="00E53CC3">
              <w:rPr>
                <w:color w:val="002060"/>
                <w:sz w:val="18"/>
                <w:szCs w:val="18"/>
              </w:rPr>
              <w:t>ADTICs</w:t>
            </w:r>
            <w:proofErr w:type="spellEnd"/>
            <w:r w:rsidRPr="00E53CC3">
              <w:rPr>
                <w:color w:val="002060"/>
                <w:sz w:val="18"/>
                <w:szCs w:val="18"/>
              </w:rPr>
              <w:t xml:space="preserve"> y Secretaria Jurídica Distrital. - Consultoría para "Actualizar la caracterización socioeconómica y los patrones de viajes de las personas con discapacidad. Realización de mesas interinstitucionales con el IDU, DADEP, Transmilenio S.A, UMV a fin de acordar acciones para mejorar la accesibilidad en el espacio público asociado a paraderos. Mesas al interior de la SDM a fin de coordinar acciones en la implementación de señalización en paraderos del SITP en especial los que presentan conflicto con </w:t>
            </w:r>
            <w:proofErr w:type="spellStart"/>
            <w:r w:rsidRPr="00E53CC3">
              <w:rPr>
                <w:color w:val="002060"/>
                <w:sz w:val="18"/>
                <w:szCs w:val="18"/>
              </w:rPr>
              <w:t>ciclorutas</w:t>
            </w:r>
            <w:proofErr w:type="spellEnd"/>
            <w:r w:rsidRPr="00E53CC3">
              <w:rPr>
                <w:color w:val="002060"/>
                <w:sz w:val="18"/>
                <w:szCs w:val="18"/>
              </w:rPr>
              <w:t xml:space="preserve"> y/o </w:t>
            </w:r>
            <w:proofErr w:type="spellStart"/>
            <w:r w:rsidRPr="00E53CC3">
              <w:rPr>
                <w:color w:val="002060"/>
                <w:sz w:val="18"/>
                <w:szCs w:val="18"/>
              </w:rPr>
              <w:t>bicicarriles</w:t>
            </w:r>
            <w:proofErr w:type="spellEnd"/>
            <w:r w:rsidRPr="00E53CC3">
              <w:rPr>
                <w:color w:val="002060"/>
                <w:sz w:val="18"/>
                <w:szCs w:val="18"/>
              </w:rPr>
              <w:t xml:space="preserve"> - Realización de 22 mesas técnicas para tratar casos especiales en la implementación de paraderos del servicio zonal del SITP, conforme a la resolución 269/20 modificada por </w:t>
            </w:r>
            <w:proofErr w:type="gramStart"/>
            <w:r w:rsidRPr="00E53CC3">
              <w:rPr>
                <w:color w:val="002060"/>
                <w:sz w:val="18"/>
                <w:szCs w:val="18"/>
              </w:rPr>
              <w:t>la resol</w:t>
            </w:r>
            <w:proofErr w:type="gramEnd"/>
            <w:r w:rsidRPr="00E53CC3">
              <w:rPr>
                <w:color w:val="002060"/>
                <w:sz w:val="18"/>
                <w:szCs w:val="18"/>
              </w:rPr>
              <w:t xml:space="preserve"> </w:t>
            </w:r>
            <w:r w:rsidRPr="00E53CC3">
              <w:rPr>
                <w:color w:val="002060"/>
                <w:sz w:val="18"/>
                <w:szCs w:val="18"/>
              </w:rPr>
              <w:lastRenderedPageBreak/>
              <w:t xml:space="preserve">313780/23. Realización de 1186 visitas a paraderos priorizados a intervenir (tipo I módulo, II tótem y III bandera) después del segundo semestre de 2023, bajo el contrato de concesión DADEP 162-2020. Visitas asociadas a revisar accesibilidad en paraderos: AEROPUERTO EL DORADO, TERMINAL DE TRANSPORTES, AV CALI - CL 6C, KR 99 - CL 147, PARADEROS TOTEMS - Realización de material audiovisual y piezas informativas sobre paraderos accesibles y flota vehicular nueva incorporada, </w:t>
            </w:r>
            <w:proofErr w:type="spellStart"/>
            <w:r w:rsidRPr="00E53CC3">
              <w:rPr>
                <w:color w:val="002060"/>
                <w:sz w:val="18"/>
                <w:szCs w:val="18"/>
              </w:rPr>
              <w:t>asi</w:t>
            </w:r>
            <w:proofErr w:type="spellEnd"/>
            <w:r w:rsidRPr="00E53CC3">
              <w:rPr>
                <w:color w:val="002060"/>
                <w:sz w:val="18"/>
                <w:szCs w:val="18"/>
              </w:rPr>
              <w:t xml:space="preserve"> como excepción de pico y placa </w:t>
            </w:r>
            <w:proofErr w:type="spellStart"/>
            <w:r w:rsidRPr="00E53CC3">
              <w:rPr>
                <w:color w:val="002060"/>
                <w:sz w:val="18"/>
                <w:szCs w:val="18"/>
              </w:rPr>
              <w:t>PcD</w:t>
            </w:r>
            <w:proofErr w:type="spellEnd"/>
            <w:r w:rsidRPr="00E53CC3">
              <w:rPr>
                <w:color w:val="002060"/>
                <w:sz w:val="18"/>
                <w:szCs w:val="18"/>
              </w:rPr>
              <w:t>, Braille</w:t>
            </w:r>
          </w:p>
          <w:p w14:paraId="4B50F342" w14:textId="77777777" w:rsidR="00464642" w:rsidRPr="00E53CC3" w:rsidRDefault="00464642">
            <w:pPr>
              <w:widowControl w:val="0"/>
              <w:pBdr>
                <w:top w:val="nil"/>
                <w:left w:val="nil"/>
                <w:bottom w:val="nil"/>
                <w:right w:val="nil"/>
                <w:between w:val="nil"/>
              </w:pBdr>
              <w:spacing w:after="0" w:line="240" w:lineRule="auto"/>
              <w:rPr>
                <w:color w:val="002060"/>
                <w:sz w:val="18"/>
                <w:szCs w:val="18"/>
              </w:rPr>
            </w:pPr>
          </w:p>
        </w:tc>
      </w:tr>
      <w:tr w:rsidR="00E53CC3" w:rsidRPr="00E53CC3" w14:paraId="3D93BA59" w14:textId="77777777" w:rsidTr="00E53CC3">
        <w:trPr>
          <w:trHeight w:val="420"/>
        </w:trPr>
        <w:tc>
          <w:tcPr>
            <w:tcW w:w="2445" w:type="dxa"/>
            <w:shd w:val="clear" w:color="auto" w:fill="D9D9D9" w:themeFill="background1" w:themeFillShade="D9"/>
          </w:tcPr>
          <w:p w14:paraId="08891409"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375.Aumentar en 4 puntos porcentuales la confiabilidad del servicio del SITP en sus componentes troncal y zonal</w:t>
            </w:r>
          </w:p>
        </w:tc>
        <w:tc>
          <w:tcPr>
            <w:tcW w:w="1875" w:type="dxa"/>
            <w:shd w:val="clear" w:color="auto" w:fill="D9D9D9" w:themeFill="background1" w:themeFillShade="D9"/>
          </w:tcPr>
          <w:p w14:paraId="0DD261FB"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2%</w:t>
            </w:r>
          </w:p>
        </w:tc>
        <w:tc>
          <w:tcPr>
            <w:tcW w:w="1275" w:type="dxa"/>
            <w:shd w:val="clear" w:color="auto" w:fill="D9D9D9" w:themeFill="background1" w:themeFillShade="D9"/>
          </w:tcPr>
          <w:p w14:paraId="5B05A350"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2%</w:t>
            </w:r>
          </w:p>
        </w:tc>
        <w:tc>
          <w:tcPr>
            <w:tcW w:w="1590" w:type="dxa"/>
            <w:shd w:val="clear" w:color="auto" w:fill="D9D9D9" w:themeFill="background1" w:themeFillShade="D9"/>
          </w:tcPr>
          <w:p w14:paraId="025718B2"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shd w:val="clear" w:color="auto" w:fill="D9D9D9" w:themeFill="background1" w:themeFillShade="D9"/>
          </w:tcPr>
          <w:p w14:paraId="625B15F7"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Durante el cuatrienio se da cumplimento al indicador 628 con las siguientes acciones de seguimiento a los proyectos de infraestructura vial, emitiendo conceptos oportunos sobre los documentos de metodología para estudios de tránsito revisados y aprobados.</w:t>
            </w:r>
          </w:p>
          <w:p w14:paraId="5B669280"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Metodologías  i) Construcción de la Av. Rincón desde Av. Boyacá hasta </w:t>
            </w:r>
            <w:proofErr w:type="spellStart"/>
            <w:r w:rsidRPr="00E53CC3">
              <w:rPr>
                <w:color w:val="002060"/>
                <w:sz w:val="18"/>
                <w:szCs w:val="18"/>
              </w:rPr>
              <w:t>Cra</w:t>
            </w:r>
            <w:proofErr w:type="spellEnd"/>
            <w:r w:rsidRPr="00E53CC3">
              <w:rPr>
                <w:color w:val="002060"/>
                <w:sz w:val="18"/>
                <w:szCs w:val="18"/>
              </w:rPr>
              <w:t xml:space="preserve"> 91, </w:t>
            </w:r>
            <w:proofErr w:type="spellStart"/>
            <w:r w:rsidRPr="00E53CC3">
              <w:rPr>
                <w:color w:val="002060"/>
                <w:sz w:val="18"/>
                <w:szCs w:val="18"/>
              </w:rPr>
              <w:t>ii</w:t>
            </w:r>
            <w:proofErr w:type="spellEnd"/>
            <w:r w:rsidRPr="00E53CC3">
              <w:rPr>
                <w:color w:val="002060"/>
                <w:sz w:val="18"/>
                <w:szCs w:val="18"/>
              </w:rPr>
              <w:t xml:space="preserve">) Metodología del estudio de tránsito para el Corredor Verde </w:t>
            </w:r>
            <w:proofErr w:type="spellStart"/>
            <w:r w:rsidRPr="00E53CC3">
              <w:rPr>
                <w:color w:val="002060"/>
                <w:sz w:val="18"/>
                <w:szCs w:val="18"/>
              </w:rPr>
              <w:t>Cra</w:t>
            </w:r>
            <w:proofErr w:type="spellEnd"/>
            <w:r w:rsidRPr="00E53CC3">
              <w:rPr>
                <w:color w:val="002060"/>
                <w:sz w:val="18"/>
                <w:szCs w:val="18"/>
              </w:rPr>
              <w:t xml:space="preserve"> 7, </w:t>
            </w:r>
            <w:proofErr w:type="spellStart"/>
            <w:r w:rsidRPr="00E53CC3">
              <w:rPr>
                <w:color w:val="002060"/>
                <w:sz w:val="18"/>
                <w:szCs w:val="18"/>
              </w:rPr>
              <w:t>iii</w:t>
            </w:r>
            <w:proofErr w:type="spellEnd"/>
            <w:r w:rsidRPr="00E53CC3">
              <w:rPr>
                <w:color w:val="002060"/>
                <w:sz w:val="18"/>
                <w:szCs w:val="18"/>
              </w:rPr>
              <w:t xml:space="preserve">) Factibilidad del proyecto -Andenes y ciclorruta Calle 90 Unicentro de Occidente- y Metodología para el estudio de transporte del Complejo de Intercambio Modal del Norte, </w:t>
            </w:r>
            <w:proofErr w:type="spellStart"/>
            <w:r w:rsidRPr="00E53CC3">
              <w:rPr>
                <w:color w:val="002060"/>
                <w:sz w:val="18"/>
                <w:szCs w:val="18"/>
              </w:rPr>
              <w:t>iv</w:t>
            </w:r>
            <w:proofErr w:type="spellEnd"/>
            <w:r w:rsidRPr="00E53CC3">
              <w:rPr>
                <w:color w:val="002060"/>
                <w:sz w:val="18"/>
                <w:szCs w:val="18"/>
              </w:rPr>
              <w:t xml:space="preserve">) Metodología Estudio de Tránsito: CAMM, v) Contrato IDU-1601 de 2020, estudios y diseños de la calzada norte de la AC 153 entre la Autopista Norte y la AK 72, vi) Metodología Contrato IDU1814-21, </w:t>
            </w:r>
            <w:proofErr w:type="spellStart"/>
            <w:r w:rsidRPr="00E53CC3">
              <w:rPr>
                <w:color w:val="002060"/>
                <w:sz w:val="18"/>
                <w:szCs w:val="18"/>
              </w:rPr>
              <w:t>vii</w:t>
            </w:r>
            <w:proofErr w:type="spellEnd"/>
            <w:r w:rsidRPr="00E53CC3">
              <w:rPr>
                <w:color w:val="002060"/>
                <w:sz w:val="18"/>
                <w:szCs w:val="18"/>
              </w:rPr>
              <w:t xml:space="preserve">) Metodología ET en fase de factibilidad L2MB, </w:t>
            </w:r>
            <w:proofErr w:type="spellStart"/>
            <w:r w:rsidRPr="00E53CC3">
              <w:rPr>
                <w:color w:val="002060"/>
                <w:sz w:val="18"/>
                <w:szCs w:val="18"/>
              </w:rPr>
              <w:t>viii</w:t>
            </w:r>
            <w:proofErr w:type="spellEnd"/>
            <w:r w:rsidRPr="00E53CC3">
              <w:rPr>
                <w:color w:val="002060"/>
                <w:sz w:val="18"/>
                <w:szCs w:val="18"/>
              </w:rPr>
              <w:t xml:space="preserve">) Metodología ET en fase de factibilidad extensión PLMB. </w:t>
            </w:r>
          </w:p>
          <w:p w14:paraId="090F2D51"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Estudios de Tránsito Estudio, diseño y construcción de mejoras geométricas y nueva salida del Portal Troncal 80, Malla vial y andenes Cra 4Este entre Calles 46D Sur y 45 Sur La Victoria, Estudios, diseños y construcción del Canal Córdoba entre Calles 129 y 170, Estudios y diseños Av. Constitución, Estudios, diseño y construcción Paseos Comerciales Fase II Puente Aranda, Factibilidad, estudios y diseños para la construcción del puente San Agustín y el puente Los Andes, Estudio y Diseños Av. Las Villas, Universidad Santo Tomás Sede Central, Estudio y Diseños CAMM, Elaboración de la factibilidad, estudios y diseños del proyecto de inserción urbana del Regiotram de Occidente, plataforma peatonal de la AC 26 entre </w:t>
            </w:r>
            <w:proofErr w:type="spellStart"/>
            <w:r w:rsidRPr="00E53CC3">
              <w:rPr>
                <w:color w:val="002060"/>
                <w:sz w:val="18"/>
                <w:szCs w:val="18"/>
              </w:rPr>
              <w:t>Av.Caracas</w:t>
            </w:r>
            <w:proofErr w:type="spellEnd"/>
            <w:r w:rsidRPr="00E53CC3">
              <w:rPr>
                <w:color w:val="002060"/>
                <w:sz w:val="18"/>
                <w:szCs w:val="18"/>
              </w:rPr>
              <w:t xml:space="preserve"> y AK10, Ampliación puentes peatonales estaciones Calle 142, Calle 146, Toberín y </w:t>
            </w:r>
            <w:proofErr w:type="spellStart"/>
            <w:r w:rsidRPr="00E53CC3">
              <w:rPr>
                <w:color w:val="002060"/>
                <w:sz w:val="18"/>
                <w:szCs w:val="18"/>
              </w:rPr>
              <w:t>Mazurén</w:t>
            </w:r>
            <w:proofErr w:type="spellEnd"/>
            <w:r w:rsidRPr="00E53CC3">
              <w:rPr>
                <w:color w:val="002060"/>
                <w:sz w:val="18"/>
                <w:szCs w:val="18"/>
              </w:rPr>
              <w:t xml:space="preserve">, Estudios y Diseños Regiotram de Occidente, Estudio y Diseños Intercambiador vial </w:t>
            </w:r>
            <w:proofErr w:type="spellStart"/>
            <w:r w:rsidRPr="00E53CC3">
              <w:rPr>
                <w:color w:val="002060"/>
                <w:sz w:val="18"/>
                <w:szCs w:val="18"/>
              </w:rPr>
              <w:t>AvCalle</w:t>
            </w:r>
            <w:proofErr w:type="spellEnd"/>
            <w:r w:rsidRPr="00E53CC3">
              <w:rPr>
                <w:color w:val="002060"/>
                <w:sz w:val="18"/>
                <w:szCs w:val="18"/>
              </w:rPr>
              <w:t xml:space="preserve"> 72 - obras tempranas PLMB, Estudio y Diseños Cable San Cristóbal, Controles de Cambio </w:t>
            </w:r>
            <w:proofErr w:type="spellStart"/>
            <w:r w:rsidRPr="00E53CC3">
              <w:rPr>
                <w:color w:val="002060"/>
                <w:sz w:val="18"/>
                <w:szCs w:val="18"/>
              </w:rPr>
              <w:t>Av.Guayacanes</w:t>
            </w:r>
            <w:proofErr w:type="spellEnd"/>
            <w:r w:rsidRPr="00E53CC3">
              <w:rPr>
                <w:color w:val="002060"/>
                <w:sz w:val="18"/>
                <w:szCs w:val="18"/>
              </w:rPr>
              <w:t xml:space="preserve"> (fase de </w:t>
            </w:r>
            <w:r w:rsidRPr="00E53CC3">
              <w:rPr>
                <w:color w:val="002060"/>
                <w:sz w:val="18"/>
                <w:szCs w:val="18"/>
              </w:rPr>
              <w:lastRenderedPageBreak/>
              <w:t>construcción), Controles de Cambio Troncal Av. Ciudad de Cali (fase de construcción), Controles de Cambio Aceras y Ciclorrutas (fase de construcción)</w:t>
            </w:r>
          </w:p>
          <w:p w14:paraId="264A36B9"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Estudios de Tránsito de instrumentos de planeación PRM El triunfo, Compensar Alquería, Bavaria Fábrica, El Pedregal, </w:t>
            </w:r>
            <w:proofErr w:type="spellStart"/>
            <w:r w:rsidRPr="00E53CC3">
              <w:rPr>
                <w:color w:val="002060"/>
                <w:sz w:val="18"/>
                <w:szCs w:val="18"/>
              </w:rPr>
              <w:t>Corferías</w:t>
            </w:r>
            <w:proofErr w:type="spellEnd"/>
            <w:r w:rsidRPr="00E53CC3">
              <w:rPr>
                <w:color w:val="002060"/>
                <w:sz w:val="18"/>
                <w:szCs w:val="18"/>
              </w:rPr>
              <w:t xml:space="preserve"> EAAB, Lagos de Torca, </w:t>
            </w:r>
            <w:proofErr w:type="spellStart"/>
            <w:r w:rsidRPr="00E53CC3">
              <w:rPr>
                <w:color w:val="002060"/>
                <w:sz w:val="18"/>
                <w:szCs w:val="18"/>
              </w:rPr>
              <w:t>Textilia</w:t>
            </w:r>
            <w:proofErr w:type="spellEnd"/>
            <w:r w:rsidRPr="00E53CC3">
              <w:rPr>
                <w:color w:val="002060"/>
                <w:sz w:val="18"/>
                <w:szCs w:val="18"/>
              </w:rPr>
              <w:t xml:space="preserve">, Bronx Distrito Creativo 1 y 2, CIM Norte, Centro San Bernardo, Fortaleza MDN, Complejo el </w:t>
            </w:r>
            <w:proofErr w:type="spellStart"/>
            <w:r w:rsidRPr="00E53CC3">
              <w:rPr>
                <w:color w:val="002060"/>
                <w:sz w:val="18"/>
                <w:szCs w:val="18"/>
              </w:rPr>
              <w:t>Campín</w:t>
            </w:r>
            <w:proofErr w:type="spellEnd"/>
            <w:r w:rsidRPr="00E53CC3">
              <w:rPr>
                <w:color w:val="002060"/>
                <w:sz w:val="18"/>
                <w:szCs w:val="18"/>
              </w:rPr>
              <w:t>, PP Calle 72, Metro Calle 26, PP La Felicidad, La Picota, Parque Hacienda Los Molinos, Clínica de Occidente, CITC, PP 3 Quebradas</w:t>
            </w:r>
          </w:p>
          <w:p w14:paraId="082216D3"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Estudio de demanda y atención de usuarios Centro de diagnóstico Automotor, Colegio Santa Luisa, EDS Terpel San Patricio, centro de traslado y protección, club La Colina, Clínica de la Mujer, </w:t>
            </w:r>
            <w:proofErr w:type="spellStart"/>
            <w:r w:rsidRPr="00E53CC3">
              <w:rPr>
                <w:color w:val="002060"/>
                <w:sz w:val="18"/>
                <w:szCs w:val="18"/>
              </w:rPr>
              <w:t>Innnova</w:t>
            </w:r>
            <w:proofErr w:type="spellEnd"/>
            <w:r w:rsidRPr="00E53CC3">
              <w:rPr>
                <w:color w:val="002060"/>
                <w:sz w:val="18"/>
                <w:szCs w:val="18"/>
              </w:rPr>
              <w:t xml:space="preserve"> </w:t>
            </w:r>
            <w:proofErr w:type="spellStart"/>
            <w:r w:rsidRPr="00E53CC3">
              <w:rPr>
                <w:color w:val="002060"/>
                <w:sz w:val="18"/>
                <w:szCs w:val="18"/>
              </w:rPr>
              <w:t>Schools</w:t>
            </w:r>
            <w:proofErr w:type="spellEnd"/>
            <w:r w:rsidRPr="00E53CC3">
              <w:rPr>
                <w:color w:val="002060"/>
                <w:sz w:val="18"/>
                <w:szCs w:val="18"/>
              </w:rPr>
              <w:t xml:space="preserve"> </w:t>
            </w:r>
            <w:proofErr w:type="spellStart"/>
            <w:proofErr w:type="gramStart"/>
            <w:r w:rsidRPr="00E53CC3">
              <w:rPr>
                <w:color w:val="002060"/>
                <w:sz w:val="18"/>
                <w:szCs w:val="18"/>
              </w:rPr>
              <w:t>Niza,IED</w:t>
            </w:r>
            <w:proofErr w:type="spellEnd"/>
            <w:proofErr w:type="gramEnd"/>
            <w:r w:rsidRPr="00E53CC3">
              <w:rPr>
                <w:color w:val="002060"/>
                <w:sz w:val="18"/>
                <w:szCs w:val="18"/>
              </w:rPr>
              <w:t xml:space="preserve"> Policarpa Salavarrieta, Planta concreto Cemex</w:t>
            </w:r>
          </w:p>
          <w:p w14:paraId="1ED2584C"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Patios zonales SITP: Aeropuerto, Usme Centro, Alameda El Jardín, María Juana, Perdomo, El </w:t>
            </w:r>
            <w:proofErr w:type="spellStart"/>
            <w:r w:rsidRPr="00E53CC3">
              <w:rPr>
                <w:color w:val="002060"/>
                <w:sz w:val="18"/>
                <w:szCs w:val="18"/>
              </w:rPr>
              <w:t>Gaco</w:t>
            </w:r>
            <w:proofErr w:type="spellEnd"/>
            <w:r w:rsidRPr="00E53CC3">
              <w:rPr>
                <w:color w:val="002060"/>
                <w:sz w:val="18"/>
                <w:szCs w:val="18"/>
              </w:rPr>
              <w:t>, El Uval, La Conejera, Suba Gaitana, La Turquesa, Alimentadores Bosa, Corpas, Usme Centro II, PIR Bilbao</w:t>
            </w:r>
          </w:p>
          <w:p w14:paraId="06922591"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Otros Centro Especial de Reclusión Puente Aranda</w:t>
            </w:r>
          </w:p>
          <w:p w14:paraId="2FB7E9DE" w14:textId="77777777" w:rsidR="00464642" w:rsidRPr="00E53CC3" w:rsidRDefault="00464642" w:rsidP="00330B6F">
            <w:pPr>
              <w:widowControl w:val="0"/>
              <w:pBdr>
                <w:top w:val="nil"/>
                <w:left w:val="nil"/>
                <w:bottom w:val="nil"/>
                <w:right w:val="nil"/>
                <w:between w:val="nil"/>
              </w:pBdr>
              <w:spacing w:after="0" w:line="240" w:lineRule="auto"/>
              <w:jc w:val="both"/>
              <w:rPr>
                <w:color w:val="002060"/>
                <w:sz w:val="18"/>
                <w:szCs w:val="18"/>
              </w:rPr>
            </w:pPr>
          </w:p>
        </w:tc>
      </w:tr>
      <w:tr w:rsidR="00E53CC3" w:rsidRPr="00E53CC3" w14:paraId="7DA0F5DB" w14:textId="77777777" w:rsidTr="00E53CC3">
        <w:trPr>
          <w:trHeight w:val="420"/>
        </w:trPr>
        <w:tc>
          <w:tcPr>
            <w:tcW w:w="2445" w:type="dxa"/>
          </w:tcPr>
          <w:p w14:paraId="6760B3DC"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384.Definir e implementar un instrumento para la medición y seguimiento de la experiencia del usuario y del prestador del servicio en el transporte público individual</w:t>
            </w:r>
          </w:p>
        </w:tc>
        <w:tc>
          <w:tcPr>
            <w:tcW w:w="1875" w:type="dxa"/>
          </w:tcPr>
          <w:p w14:paraId="03E0DC5D"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275" w:type="dxa"/>
          </w:tcPr>
          <w:p w14:paraId="64727C4D"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590" w:type="dxa"/>
          </w:tcPr>
          <w:p w14:paraId="17178FBC"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tcPr>
          <w:p w14:paraId="7DF1D923"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En lo corrido del cuatrienio, se consolida la definición e implementación de un instrumento de medición y seguimiento de la experiencia del usuario y prestador del servicio en Transporte Público Individual (TPI), mediante un modelo de calidad que logra: Conceptualizar la experiencia de viaje para usuarios y prestadores del servicio de taxi, validar los aspectos más relevantes para ambos actores y, con ello se estructuran cuatro componentes de medición para el seguimiento de la experiencia:  </w:t>
            </w:r>
          </w:p>
          <w:p w14:paraId="42241C9C"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Componente 1: Encuesta de percepción de conductoras y conductores de taxi:  se diseñó la encuesta de percepción, se aplica a 505 conductores para 2023, se procesan resultados y se consolida informe con análisis y prioridades de intervención. - Socialización con actores de la modalidad y toma de acciones: estrategias de promoción, reconocimiento a conductores y semilleros de género. </w:t>
            </w:r>
          </w:p>
          <w:p w14:paraId="7E6A611D"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Componente 2: Calificación del servicio y PQRS Define estrategias de medición y acompaña el desarrollo de herramientas tecnológicas para calificación y PQRS: Código QR y PWA MI MOVILIDAD</w:t>
            </w:r>
            <w:proofErr w:type="gramStart"/>
            <w:r w:rsidRPr="00E53CC3">
              <w:rPr>
                <w:color w:val="002060"/>
                <w:sz w:val="18"/>
                <w:szCs w:val="18"/>
              </w:rPr>
              <w:t>. .</w:t>
            </w:r>
            <w:proofErr w:type="gramEnd"/>
            <w:r w:rsidRPr="00E53CC3">
              <w:rPr>
                <w:color w:val="002060"/>
                <w:sz w:val="18"/>
                <w:szCs w:val="18"/>
              </w:rPr>
              <w:t xml:space="preserve"> </w:t>
            </w:r>
          </w:p>
          <w:p w14:paraId="521C8A93"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Componente 3: Encuesta de percepción de usuarios de taxi: -se diseñó encuesta de percepción, se aplica la encuesta para los años 2020, 202, 2022 y 2023. - Se </w:t>
            </w:r>
            <w:r w:rsidRPr="00E53CC3">
              <w:rPr>
                <w:color w:val="002060"/>
                <w:sz w:val="18"/>
                <w:szCs w:val="18"/>
              </w:rPr>
              <w:lastRenderedPageBreak/>
              <w:t xml:space="preserve">estableció índice de satisfacción del cliente 2022 - Socialización con actores de la modalidad y toma de acciones. </w:t>
            </w:r>
          </w:p>
          <w:p w14:paraId="2BFCF8C1"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Componente 4: índice de gestión de la calidad del servicio - se diseñó batería de indicadores para la medición de la gestión de la calidad del servicio por parte de las empresas de taxi, se desarrolló plan piloto para validación de indicadores. Con base en la medición integral de la experiencia de viaje, que recoge la mirada del cliente interno (prestadores) y externo (usuarios) e, involucra a los diferentes actores de la cadena de valor, se logra avanzar con su SEGUIMIENTO y MEJORA: -Se formulan e implementan acciones prioritarias de gestión a partir del seguimiento de la experiencia de viaje: Plan de Taxi (Estrategia de trabajo compuesta por las diferentes líneas de acción de la modalidad como política pública de la modalidad). - Se acompaña desarrollo del Tablero del Observatorio de Movilidad, fuente de información para el seguimiento y toma de decisiones. - Se consolida proyecto de Optimización de la Experiencia de Viaje en Taxi en Plan de Movilidad Sostenible y Segura y se articulan 7 proyectos más de la modalidad. - Se gestiona fortalecimiento del Modelo de Calidad desde la perspectiva de género en asocio con el proyecto AVANTIA y se generan insumos que orientan los lineamientos de política de transporte público individual.</w:t>
            </w:r>
          </w:p>
          <w:p w14:paraId="22DFC54E" w14:textId="77777777" w:rsidR="00464642" w:rsidRPr="00E53CC3" w:rsidRDefault="00464642" w:rsidP="00330B6F">
            <w:pPr>
              <w:widowControl w:val="0"/>
              <w:pBdr>
                <w:top w:val="nil"/>
                <w:left w:val="nil"/>
                <w:bottom w:val="nil"/>
                <w:right w:val="nil"/>
                <w:between w:val="nil"/>
              </w:pBdr>
              <w:spacing w:after="0" w:line="240" w:lineRule="auto"/>
              <w:jc w:val="both"/>
              <w:rPr>
                <w:color w:val="002060"/>
                <w:sz w:val="18"/>
                <w:szCs w:val="18"/>
              </w:rPr>
            </w:pPr>
          </w:p>
        </w:tc>
      </w:tr>
      <w:tr w:rsidR="00E53CC3" w:rsidRPr="00E53CC3" w14:paraId="6038CC68" w14:textId="77777777" w:rsidTr="00E53CC3">
        <w:trPr>
          <w:trHeight w:val="420"/>
        </w:trPr>
        <w:tc>
          <w:tcPr>
            <w:tcW w:w="2445" w:type="dxa"/>
            <w:shd w:val="clear" w:color="auto" w:fill="D9D9D9" w:themeFill="background1" w:themeFillShade="D9"/>
          </w:tcPr>
          <w:p w14:paraId="2304DF6D"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385.Diseñar, gestionar e implementar una estrategia para aumentar la ocupación promedio del vehículo privado en la ciudad</w:t>
            </w:r>
          </w:p>
        </w:tc>
        <w:tc>
          <w:tcPr>
            <w:tcW w:w="1875" w:type="dxa"/>
            <w:shd w:val="clear" w:color="auto" w:fill="D9D9D9" w:themeFill="background1" w:themeFillShade="D9"/>
          </w:tcPr>
          <w:p w14:paraId="0CFC1EA9"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275" w:type="dxa"/>
            <w:shd w:val="clear" w:color="auto" w:fill="D9D9D9" w:themeFill="background1" w:themeFillShade="D9"/>
          </w:tcPr>
          <w:p w14:paraId="3F30E680"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590" w:type="dxa"/>
            <w:shd w:val="clear" w:color="auto" w:fill="D9D9D9" w:themeFill="background1" w:themeFillShade="D9"/>
          </w:tcPr>
          <w:p w14:paraId="5207A3AD"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shd w:val="clear" w:color="auto" w:fill="D9D9D9" w:themeFill="background1" w:themeFillShade="D9"/>
          </w:tcPr>
          <w:p w14:paraId="0A1F0243"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Para incrementar la ocupación promedio del vehículo de servicio particular, en el PDD la SDM diseñó e implemento una estrategia que incluye la ejecución de las siguientes actividades: </w:t>
            </w:r>
          </w:p>
          <w:p w14:paraId="62A672B8"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1. Normatividad a. Formulación Res 118139 de 2021 (canales de interacción con plataformas tecnológicas), Resolución 173157 de 2021 (requisitos para la integración de plataformas tecnológicas al SIMUR). b. Entre </w:t>
            </w:r>
            <w:proofErr w:type="spellStart"/>
            <w:r w:rsidRPr="00E53CC3">
              <w:rPr>
                <w:color w:val="002060"/>
                <w:sz w:val="18"/>
                <w:szCs w:val="18"/>
              </w:rPr>
              <w:t>sep</w:t>
            </w:r>
            <w:proofErr w:type="spellEnd"/>
            <w:r w:rsidRPr="00E53CC3">
              <w:rPr>
                <w:color w:val="002060"/>
                <w:sz w:val="18"/>
                <w:szCs w:val="18"/>
              </w:rPr>
              <w:t xml:space="preserve"> 24 de 2020 y ene 6 de 2023, se realizaron 11.396.386 registros al permiso semanal por movilidad compartida. 2. Análisis de barreras e incentivos para la movilidad compartida a. Consultoría con 5 productos realizada por Sensata con recursos de Iniciativa TUMI, se identificaron barreras y facilitadores para adopción del carro compartido. b. Encuesta a más de 33.500 personas usuarias de PYPS Solidario y movilidad compartida. c. Análisis de resultados de una consultoría realizada por Universidad de California en Berkeley. Evaluación de impacto de diferentes medidas de gestión en Bogotá, entre las cuales se contempla el </w:t>
            </w:r>
            <w:proofErr w:type="spellStart"/>
            <w:r w:rsidRPr="00E53CC3">
              <w:rPr>
                <w:color w:val="002060"/>
                <w:sz w:val="18"/>
                <w:szCs w:val="18"/>
              </w:rPr>
              <w:t>carpooling</w:t>
            </w:r>
            <w:proofErr w:type="spellEnd"/>
            <w:r w:rsidRPr="00E53CC3">
              <w:rPr>
                <w:color w:val="002060"/>
                <w:sz w:val="18"/>
                <w:szCs w:val="18"/>
              </w:rPr>
              <w:t xml:space="preserve">. Uso </w:t>
            </w:r>
            <w:r w:rsidRPr="00E53CC3">
              <w:rPr>
                <w:color w:val="002060"/>
                <w:sz w:val="18"/>
                <w:szCs w:val="18"/>
              </w:rPr>
              <w:lastRenderedPageBreak/>
              <w:t>de modelos de Berkeley para incluir efecto de Pico y Placa Solidario en modelo de transporte de la ciudad. 3. Promoción de la movilidad compartida en organizaciones a. Piloto de carro compartido con la participación de organizaciones y plataformas tecnológicas. Más de 1.300 viajes, ahorro de 2,5 toneladas de CO2. b. Promoción de movilidad compartida en empresas de la Red Muévete Mejor.</w:t>
            </w:r>
          </w:p>
          <w:p w14:paraId="268BE765" w14:textId="77777777" w:rsidR="00464642" w:rsidRPr="00E53CC3" w:rsidRDefault="00464642" w:rsidP="00330B6F">
            <w:pPr>
              <w:widowControl w:val="0"/>
              <w:pBdr>
                <w:top w:val="nil"/>
                <w:left w:val="nil"/>
                <w:bottom w:val="nil"/>
                <w:right w:val="nil"/>
                <w:between w:val="nil"/>
              </w:pBdr>
              <w:spacing w:after="0" w:line="240" w:lineRule="auto"/>
              <w:jc w:val="both"/>
              <w:rPr>
                <w:color w:val="002060"/>
                <w:sz w:val="18"/>
                <w:szCs w:val="18"/>
              </w:rPr>
            </w:pPr>
          </w:p>
        </w:tc>
      </w:tr>
      <w:tr w:rsidR="00E53CC3" w:rsidRPr="00E53CC3" w14:paraId="0DD12893" w14:textId="77777777" w:rsidTr="00E53CC3">
        <w:trPr>
          <w:trHeight w:val="420"/>
        </w:trPr>
        <w:tc>
          <w:tcPr>
            <w:tcW w:w="2445" w:type="dxa"/>
          </w:tcPr>
          <w:p w14:paraId="7E068CE4"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387.Formular e implementar una estrategia integral para mejorar la calidad del transporte público urbano regional</w:t>
            </w:r>
          </w:p>
        </w:tc>
        <w:tc>
          <w:tcPr>
            <w:tcW w:w="1875" w:type="dxa"/>
          </w:tcPr>
          <w:p w14:paraId="5C58023C"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275" w:type="dxa"/>
          </w:tcPr>
          <w:p w14:paraId="375A97EE"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w:t>
            </w:r>
          </w:p>
        </w:tc>
        <w:tc>
          <w:tcPr>
            <w:tcW w:w="1590" w:type="dxa"/>
          </w:tcPr>
          <w:p w14:paraId="29836106"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tcPr>
          <w:p w14:paraId="302DFBAC"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Durante el cuatrienio se da cumplimento a la formulación e implementación de la estrategia de movilidad de Bogotá con la Región, compuesta por los siguientes 4 ejes:</w:t>
            </w:r>
          </w:p>
          <w:p w14:paraId="6F1CBCD0"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Eje 1 Implementación de los trenes de cercanías: Regiotram del norte Finalizaron los estudios de factibilidad técnica, legal, financiera y ambiental del tren entre Bogotá y Zipaquirá, como avance de los requisitos que se presentarán ante el Ministerio de </w:t>
            </w:r>
            <w:proofErr w:type="gramStart"/>
            <w:r w:rsidRPr="00E53CC3">
              <w:rPr>
                <w:color w:val="002060"/>
                <w:sz w:val="18"/>
                <w:szCs w:val="18"/>
              </w:rPr>
              <w:t>Transporte..</w:t>
            </w:r>
            <w:proofErr w:type="gramEnd"/>
            <w:r w:rsidRPr="00E53CC3">
              <w:rPr>
                <w:color w:val="002060"/>
                <w:sz w:val="18"/>
                <w:szCs w:val="18"/>
              </w:rPr>
              <w:t xml:space="preserve"> Los estudios contemplaron la inserción urbana del proyecto en la ciudad y la evaluación de escenarios de integración física con el SITP Regiotram de occidente El proyecto se ha estructurado desde 2017 y llevado al CONPES en ese mismo año, se trabajó en garantizar que tuviera una adecuada inserción urbana en la ciudad, buscando una integración gradual, la cual iniciaría por la integración física. Para tal fin se suscribieron convenios que concluyeron con los estudios y diseños de las estaciones elevadas (Av. 68, Boyacá, NQS) adicionando recursos a través del IDU para la ejecución de esas estaciones, que previamente deben ser llevadas a una etapa de negociación permitiendo que sean incluidas en el contrato de concesión que ya está en ejecución</w:t>
            </w:r>
          </w:p>
          <w:p w14:paraId="3C8474C5"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Eje 2 Plan de Ordenamiento Territorial Coordinación para la revisión general del POT, apoyo en entrega de información a las diferentes instancias Consejo Territorial de Planeación del Distrito Capital y Concejo Distrital - </w:t>
            </w:r>
            <w:proofErr w:type="spellStart"/>
            <w:r w:rsidRPr="00E53CC3">
              <w:rPr>
                <w:color w:val="002060"/>
                <w:sz w:val="18"/>
                <w:szCs w:val="18"/>
              </w:rPr>
              <w:t>Regl</w:t>
            </w:r>
            <w:proofErr w:type="spellEnd"/>
            <w:r w:rsidRPr="00E53CC3">
              <w:rPr>
                <w:color w:val="002060"/>
                <w:sz w:val="18"/>
                <w:szCs w:val="18"/>
              </w:rPr>
              <w:t xml:space="preserve">. de </w:t>
            </w:r>
            <w:proofErr w:type="spellStart"/>
            <w:r w:rsidRPr="00E53CC3">
              <w:rPr>
                <w:color w:val="002060"/>
                <w:sz w:val="18"/>
                <w:szCs w:val="18"/>
              </w:rPr>
              <w:t>arts</w:t>
            </w:r>
            <w:proofErr w:type="spellEnd"/>
            <w:r w:rsidRPr="00E53CC3">
              <w:rPr>
                <w:color w:val="002060"/>
                <w:sz w:val="18"/>
                <w:szCs w:val="18"/>
              </w:rPr>
              <w:t xml:space="preserve"> asociados al sistema de movilidad del </w:t>
            </w:r>
            <w:proofErr w:type="spellStart"/>
            <w:r w:rsidRPr="00E53CC3">
              <w:rPr>
                <w:color w:val="002060"/>
                <w:sz w:val="18"/>
                <w:szCs w:val="18"/>
              </w:rPr>
              <w:t>Dec</w:t>
            </w:r>
            <w:proofErr w:type="spellEnd"/>
            <w:r w:rsidRPr="00E53CC3">
              <w:rPr>
                <w:color w:val="002060"/>
                <w:sz w:val="18"/>
                <w:szCs w:val="18"/>
              </w:rPr>
              <w:t xml:space="preserve"> 555/2021 - Art.128 - Andenes y 132 Antejardines en etapa de revisión jurídica final, -Art.250 - Estudios de movilidad reglamentado mediante resol. 132490/2023, Art.487 Plan de Movilidad Segura y Sostenible.</w:t>
            </w:r>
          </w:p>
          <w:p w14:paraId="40807120"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Eje 3 Transporte de carga entre la ciudad y la Región Piloto de cargue y descargue de mercancías en horarios no convencionales, con la participación de 53 empresas de las cuales 26 han logrado implementar modelos de distribución en </w:t>
            </w:r>
            <w:r w:rsidRPr="00E53CC3">
              <w:rPr>
                <w:color w:val="002060"/>
                <w:sz w:val="18"/>
                <w:szCs w:val="18"/>
              </w:rPr>
              <w:lastRenderedPageBreak/>
              <w:t xml:space="preserve">la ciudad. Avances en la consolidación de una red férrea como eje estructurante de la movilidad en </w:t>
            </w:r>
            <w:proofErr w:type="spellStart"/>
            <w:r w:rsidRPr="00E53CC3">
              <w:rPr>
                <w:color w:val="002060"/>
                <w:sz w:val="18"/>
                <w:szCs w:val="18"/>
              </w:rPr>
              <w:t>Btá</w:t>
            </w:r>
            <w:proofErr w:type="spellEnd"/>
            <w:r w:rsidRPr="00E53CC3">
              <w:rPr>
                <w:color w:val="002060"/>
                <w:sz w:val="18"/>
                <w:szCs w:val="18"/>
              </w:rPr>
              <w:t xml:space="preserve"> y la Región y en el componente de logística y carga, se continuó con la estructuración del proyecto de modernización de flota de carga liviana y volquetas.</w:t>
            </w:r>
          </w:p>
          <w:p w14:paraId="1A809E03"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Se implementó la </w:t>
            </w:r>
            <w:proofErr w:type="spellStart"/>
            <w:r w:rsidRPr="00E53CC3">
              <w:rPr>
                <w:color w:val="002060"/>
                <w:sz w:val="18"/>
                <w:szCs w:val="18"/>
              </w:rPr>
              <w:t>microplataforma</w:t>
            </w:r>
            <w:proofErr w:type="spellEnd"/>
            <w:r w:rsidRPr="00E53CC3">
              <w:rPr>
                <w:color w:val="002060"/>
                <w:sz w:val="18"/>
                <w:szCs w:val="18"/>
              </w:rPr>
              <w:t xml:space="preserve"> logística en las instalaciones de la terminal del Sur, esto permite la desconsolidación de carga en vehículos de reparto urbano y operación por fuera de horas pico de la ciudad, permitiendo que los vehículos de carga pesada operen desde la región hacia la ciudad en horario nocturno.</w:t>
            </w:r>
          </w:p>
          <w:p w14:paraId="533A9435" w14:textId="77777777" w:rsidR="00464642" w:rsidRPr="00E53CC3" w:rsidRDefault="00416049" w:rsidP="00330B6F">
            <w:pPr>
              <w:widowControl w:val="0"/>
              <w:spacing w:after="0" w:line="240" w:lineRule="auto"/>
              <w:jc w:val="both"/>
              <w:rPr>
                <w:color w:val="002060"/>
                <w:sz w:val="18"/>
                <w:szCs w:val="18"/>
              </w:rPr>
            </w:pPr>
            <w:r w:rsidRPr="00E53CC3">
              <w:rPr>
                <w:color w:val="002060"/>
                <w:sz w:val="18"/>
                <w:szCs w:val="18"/>
              </w:rPr>
              <w:t xml:space="preserve">Eje 4 Agencia Regional de Movilidad, en coordinación con SDP y con la Gobernación de C/marca se elaboraron los DTS para la identificar los hechos metropolitanos de movilidad, que corresponde a las dimensiones de </w:t>
            </w:r>
            <w:proofErr w:type="spellStart"/>
            <w:r w:rsidRPr="00E53CC3">
              <w:rPr>
                <w:color w:val="002060"/>
                <w:sz w:val="18"/>
                <w:szCs w:val="18"/>
              </w:rPr>
              <w:t>infraestr</w:t>
            </w:r>
            <w:proofErr w:type="spellEnd"/>
            <w:r w:rsidRPr="00E53CC3">
              <w:rPr>
                <w:color w:val="002060"/>
                <w:sz w:val="18"/>
                <w:szCs w:val="18"/>
              </w:rPr>
              <w:t xml:space="preserve">., transporte público y carga y logística entre Bogotá y la región, en el que identificaron 17 municipios y Bogotá. Estos DTS se adoptan por el consejo regional mediante Acuerdo Regional No. 06/2022. </w:t>
            </w:r>
          </w:p>
          <w:p w14:paraId="09549B29" w14:textId="77777777" w:rsidR="00464642" w:rsidRPr="00E53CC3" w:rsidRDefault="00464642" w:rsidP="00330B6F">
            <w:pPr>
              <w:widowControl w:val="0"/>
              <w:pBdr>
                <w:top w:val="nil"/>
                <w:left w:val="nil"/>
                <w:bottom w:val="nil"/>
                <w:right w:val="nil"/>
                <w:between w:val="nil"/>
              </w:pBdr>
              <w:spacing w:after="0" w:line="240" w:lineRule="auto"/>
              <w:jc w:val="both"/>
              <w:rPr>
                <w:color w:val="002060"/>
                <w:sz w:val="18"/>
                <w:szCs w:val="18"/>
              </w:rPr>
            </w:pPr>
          </w:p>
        </w:tc>
      </w:tr>
      <w:tr w:rsidR="00E53CC3" w:rsidRPr="00E53CC3" w14:paraId="4EE41325" w14:textId="77777777" w:rsidTr="00E53CC3">
        <w:trPr>
          <w:trHeight w:val="420"/>
        </w:trPr>
        <w:tc>
          <w:tcPr>
            <w:tcW w:w="2445" w:type="dxa"/>
            <w:shd w:val="clear" w:color="auto" w:fill="D9D9D9" w:themeFill="background1" w:themeFillShade="D9"/>
          </w:tcPr>
          <w:p w14:paraId="2C0E371E"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lastRenderedPageBreak/>
              <w:t>383.Definir e implementar dos estrategias de cultura ciudadana para el sistema de movilidad, con enfoque diferencial, de género y territorial.</w:t>
            </w:r>
          </w:p>
        </w:tc>
        <w:tc>
          <w:tcPr>
            <w:tcW w:w="1875" w:type="dxa"/>
            <w:shd w:val="clear" w:color="auto" w:fill="D9D9D9" w:themeFill="background1" w:themeFillShade="D9"/>
          </w:tcPr>
          <w:p w14:paraId="386537B7"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0,05</w:t>
            </w:r>
          </w:p>
        </w:tc>
        <w:tc>
          <w:tcPr>
            <w:tcW w:w="1275" w:type="dxa"/>
            <w:shd w:val="clear" w:color="auto" w:fill="D9D9D9" w:themeFill="background1" w:themeFillShade="D9"/>
          </w:tcPr>
          <w:p w14:paraId="1E173BB4"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0,05</w:t>
            </w:r>
          </w:p>
        </w:tc>
        <w:tc>
          <w:tcPr>
            <w:tcW w:w="1590" w:type="dxa"/>
            <w:shd w:val="clear" w:color="auto" w:fill="D9D9D9" w:themeFill="background1" w:themeFillShade="D9"/>
          </w:tcPr>
          <w:p w14:paraId="7C5A2228" w14:textId="77777777" w:rsidR="00464642" w:rsidRPr="00E53CC3" w:rsidRDefault="00416049">
            <w:pPr>
              <w:widowControl w:val="0"/>
              <w:pBdr>
                <w:top w:val="nil"/>
                <w:left w:val="nil"/>
                <w:bottom w:val="nil"/>
                <w:right w:val="nil"/>
                <w:between w:val="nil"/>
              </w:pBdr>
              <w:spacing w:after="0" w:line="240" w:lineRule="auto"/>
              <w:rPr>
                <w:color w:val="002060"/>
                <w:sz w:val="18"/>
                <w:szCs w:val="18"/>
              </w:rPr>
            </w:pPr>
            <w:r w:rsidRPr="00E53CC3">
              <w:rPr>
                <w:color w:val="002060"/>
                <w:sz w:val="18"/>
                <w:szCs w:val="18"/>
              </w:rPr>
              <w:t>100%</w:t>
            </w:r>
          </w:p>
        </w:tc>
        <w:tc>
          <w:tcPr>
            <w:tcW w:w="6120" w:type="dxa"/>
            <w:shd w:val="clear" w:color="auto" w:fill="D9D9D9" w:themeFill="background1" w:themeFillShade="D9"/>
          </w:tcPr>
          <w:p w14:paraId="28DD5A75" w14:textId="55469C25" w:rsidR="00464642" w:rsidRPr="00E53CC3" w:rsidRDefault="00416049">
            <w:pPr>
              <w:widowControl w:val="0"/>
              <w:pBdr>
                <w:top w:val="nil"/>
                <w:left w:val="nil"/>
                <w:bottom w:val="nil"/>
                <w:right w:val="nil"/>
                <w:between w:val="nil"/>
              </w:pBdr>
              <w:spacing w:after="0" w:line="240" w:lineRule="auto"/>
              <w:jc w:val="both"/>
              <w:rPr>
                <w:color w:val="002060"/>
                <w:sz w:val="18"/>
                <w:szCs w:val="18"/>
              </w:rPr>
            </w:pPr>
            <w:r w:rsidRPr="00E53CC3">
              <w:rPr>
                <w:color w:val="002060"/>
                <w:sz w:val="18"/>
                <w:szCs w:val="18"/>
              </w:rPr>
              <w:t xml:space="preserve">Se logró el 100% frente al cumplimiento total de la meta-plan. La Secretaría Distrital de Movilidad ha trabajado en el desarrollo de las estrategias de cultura ciudadana, las cuales se diseñaron e implementaron a nivel pedagógico y de campañas de cultura para la movilidad. En cuanto al componente pedagógico, la Entidad implementó para el 2024 un total de 9.528 acciones pedagógicas, distribuidas de la siguiente manera: 5.084 acciones en empresas y entidades, 1.824 acciones en instituciones educativas y 2.620 acciones en vías, impactado a un total de 575.672 ciudadanos y ciudadanas. Frente a las campañas de Cultura para la Movilidad, a nivel del Distrito se realizaron las siguientes: Un Pedido por la Vida, Tú Eres el Corazón de la Nueva Movilidad, No más Muertes en la vía, #NiCincoMinuticos, la Bogotá que estamos construyendo, No Pares la Vida y el Curso Virtual para Motociclistas: La Nueva Movilidad, las cuales se relacionaron con actividades lúdico-pedagógica en espacio público, contando con la participación de domiciliados y transeúntes de las zonas de intervención. Se logró transmitir conocimientos frente al cuidado de la vida, haciendo énfasis tanto en los límites de velocidad como en el respeto al peatón, actor vial vulnerable e importante en la movilidad sostenible. De igual manera, se alcanzó la recuperación del espacio público a través de la campaña ¿contra el mal parqueo </w:t>
            </w:r>
            <w:r w:rsidRPr="00E53CC3">
              <w:rPr>
                <w:color w:val="002060"/>
                <w:sz w:val="18"/>
                <w:szCs w:val="18"/>
              </w:rPr>
              <w:lastRenderedPageBreak/>
              <w:t xml:space="preserve">cuyo objetivo es responder a la problemática de ocupación del espacio público por parte de vehículos, donde la norma descriptiva de estacionarse allí afecta a la ciudad en materia de congestión, siniestralidad y vulneración de derechos de población en condición de discapacidad, entre otros. Adicional, se fortaleció el diálogo ciudadano, impactando a 20.213 personas entre transeúntes, trabajadores en locales comerciales y principalmente conductores de vehículo particular, moto y vehículos especiales. Las acciones adelantadas en el diseño y desarrollo de la meta plan, tuvieron un enfoque pedagógico y participativo cuya finalidad fue la promoción de los diferentes componentes de la Seguridad Vial, el cuidado mutuo entre actores viales, buen uso de los Carriles Preferenciales, interiorización de las normas, uso correcto del espacio público, la comunicación no sexista y libre de estereotipos de género en el sistema de movilidad, así como la promoción de prácticas de inclusión e igualdad con enfoque poblacional, desplegando un plan de comunicaciones que incluyó entre otros, intervención en vía, pauta en redes sociales y medios masivos/alternativo, diseño y divulgación de material audiovisual. Se logró con cada estrategia, generar una comunicación asertiva e informativa. </w:t>
            </w:r>
          </w:p>
        </w:tc>
      </w:tr>
    </w:tbl>
    <w:p w14:paraId="2B2EDFB8" w14:textId="0DBE88C9" w:rsidR="00464642" w:rsidRDefault="00464642"/>
    <w:tbl>
      <w:tblPr>
        <w:tblStyle w:val="Tablaconcuadrcula5oscura-nfasis5"/>
        <w:tblW w:w="13425" w:type="dxa"/>
        <w:tblLayout w:type="fixed"/>
        <w:tblLook w:val="0600" w:firstRow="0" w:lastRow="0" w:firstColumn="0" w:lastColumn="0" w:noHBand="1" w:noVBand="1"/>
      </w:tblPr>
      <w:tblGrid>
        <w:gridCol w:w="13425"/>
      </w:tblGrid>
      <w:tr w:rsidR="00781968" w:rsidRPr="00781968" w14:paraId="310C825F" w14:textId="77777777" w:rsidTr="00781968">
        <w:trPr>
          <w:trHeight w:val="420"/>
        </w:trPr>
        <w:tc>
          <w:tcPr>
            <w:tcW w:w="13425" w:type="dxa"/>
            <w:shd w:val="clear" w:color="auto" w:fill="4F81BD"/>
          </w:tcPr>
          <w:p w14:paraId="40495E13" w14:textId="1152C204" w:rsidR="00464642" w:rsidRPr="00781968" w:rsidRDefault="00416049">
            <w:pPr>
              <w:widowControl w:val="0"/>
              <w:spacing w:before="40" w:after="0" w:line="240" w:lineRule="auto"/>
              <w:jc w:val="center"/>
              <w:rPr>
                <w:color w:val="FFFFFF" w:themeColor="background1"/>
                <w:sz w:val="20"/>
                <w:szCs w:val="20"/>
              </w:rPr>
            </w:pPr>
            <w:r w:rsidRPr="00781968">
              <w:rPr>
                <w:color w:val="FFFFFF" w:themeColor="background1"/>
              </w:rPr>
              <w:t xml:space="preserve">PROGRAMA 51: </w:t>
            </w:r>
            <w:r w:rsidRPr="00781968">
              <w:rPr>
                <w:color w:val="FFFFFF" w:themeColor="background1"/>
                <w:sz w:val="20"/>
                <w:szCs w:val="20"/>
              </w:rPr>
              <w:t>GOBIERNO ABIERTO</w:t>
            </w:r>
          </w:p>
          <w:p w14:paraId="59AADCA3" w14:textId="77777777" w:rsidR="00464642" w:rsidRPr="00781968" w:rsidRDefault="00416049">
            <w:pPr>
              <w:widowControl w:val="0"/>
              <w:spacing w:before="40" w:after="0" w:line="240" w:lineRule="auto"/>
              <w:jc w:val="center"/>
              <w:rPr>
                <w:color w:val="FFFFFF" w:themeColor="background1"/>
                <w:sz w:val="20"/>
                <w:szCs w:val="20"/>
              </w:rPr>
            </w:pPr>
            <w:r w:rsidRPr="00781968">
              <w:rPr>
                <w:color w:val="FFFFFF" w:themeColor="background1"/>
                <w:sz w:val="20"/>
                <w:szCs w:val="20"/>
              </w:rPr>
              <w:t>7595 – Implementación de estrategias de participación ciudadana para una movilidad segura, incluyente,</w:t>
            </w:r>
          </w:p>
          <w:p w14:paraId="0ADF3BF9" w14:textId="77777777" w:rsidR="00464642" w:rsidRPr="00781968" w:rsidRDefault="00416049">
            <w:pPr>
              <w:widowControl w:val="0"/>
              <w:spacing w:before="40" w:after="0" w:line="240" w:lineRule="auto"/>
              <w:jc w:val="center"/>
              <w:rPr>
                <w:color w:val="002060"/>
                <w:sz w:val="20"/>
                <w:szCs w:val="20"/>
              </w:rPr>
            </w:pPr>
            <w:r w:rsidRPr="00781968">
              <w:rPr>
                <w:color w:val="FFFFFF" w:themeColor="background1"/>
                <w:sz w:val="20"/>
                <w:szCs w:val="20"/>
              </w:rPr>
              <w:t>sostenible y accesible en Bogotá</w:t>
            </w:r>
          </w:p>
        </w:tc>
      </w:tr>
    </w:tbl>
    <w:p w14:paraId="4B6F6860" w14:textId="2041A48F" w:rsidR="00781968" w:rsidRPr="00781968" w:rsidRDefault="00781968">
      <w:pPr>
        <w:widowControl w:val="0"/>
        <w:spacing w:before="40" w:after="0" w:line="240" w:lineRule="auto"/>
        <w:ind w:left="113"/>
        <w:rPr>
          <w:color w:val="FFFFFF" w:themeColor="background1"/>
        </w:rPr>
      </w:pPr>
    </w:p>
    <w:tbl>
      <w:tblPr>
        <w:tblStyle w:val="Tablaconcuadrcula5oscura-nfasis5"/>
        <w:tblW w:w="13425" w:type="dxa"/>
        <w:tblLayout w:type="fixed"/>
        <w:tblLook w:val="0600" w:firstRow="0" w:lastRow="0" w:firstColumn="0" w:lastColumn="0" w:noHBand="1" w:noVBand="1"/>
      </w:tblPr>
      <w:tblGrid>
        <w:gridCol w:w="2565"/>
        <w:gridCol w:w="1500"/>
        <w:gridCol w:w="1245"/>
        <w:gridCol w:w="1530"/>
        <w:gridCol w:w="6585"/>
      </w:tblGrid>
      <w:tr w:rsidR="00781968" w:rsidRPr="00781968" w14:paraId="48B37EF5" w14:textId="77777777" w:rsidTr="00781968">
        <w:trPr>
          <w:trHeight w:val="420"/>
          <w:tblHeader/>
        </w:trPr>
        <w:tc>
          <w:tcPr>
            <w:tcW w:w="2565" w:type="dxa"/>
          </w:tcPr>
          <w:p w14:paraId="47F231DB" w14:textId="67CC963A" w:rsidR="00464642" w:rsidRPr="00781968" w:rsidRDefault="00416049">
            <w:pPr>
              <w:widowControl w:val="0"/>
              <w:spacing w:after="0" w:line="240" w:lineRule="auto"/>
              <w:rPr>
                <w:b/>
                <w:bCs/>
                <w:color w:val="002060"/>
                <w:sz w:val="20"/>
                <w:szCs w:val="20"/>
              </w:rPr>
            </w:pPr>
            <w:r w:rsidRPr="00781968">
              <w:rPr>
                <w:b/>
                <w:bCs/>
                <w:color w:val="002060"/>
                <w:sz w:val="20"/>
                <w:szCs w:val="20"/>
              </w:rPr>
              <w:t>Meta</w:t>
            </w:r>
          </w:p>
        </w:tc>
        <w:tc>
          <w:tcPr>
            <w:tcW w:w="1500" w:type="dxa"/>
          </w:tcPr>
          <w:p w14:paraId="316F7301" w14:textId="77777777" w:rsidR="00464642" w:rsidRPr="00781968" w:rsidRDefault="00416049">
            <w:pPr>
              <w:widowControl w:val="0"/>
              <w:spacing w:after="0" w:line="240" w:lineRule="auto"/>
              <w:jc w:val="center"/>
              <w:rPr>
                <w:b/>
                <w:bCs/>
                <w:color w:val="002060"/>
                <w:sz w:val="20"/>
                <w:szCs w:val="20"/>
              </w:rPr>
            </w:pPr>
            <w:r w:rsidRPr="00781968">
              <w:rPr>
                <w:b/>
                <w:bCs/>
                <w:color w:val="002060"/>
                <w:sz w:val="20"/>
                <w:szCs w:val="20"/>
              </w:rPr>
              <w:t>Magnitud</w:t>
            </w:r>
          </w:p>
          <w:p w14:paraId="1B9BBC0A" w14:textId="77777777" w:rsidR="00464642" w:rsidRPr="00781968" w:rsidRDefault="00416049">
            <w:pPr>
              <w:widowControl w:val="0"/>
              <w:spacing w:after="0" w:line="240" w:lineRule="auto"/>
              <w:jc w:val="center"/>
              <w:rPr>
                <w:b/>
                <w:bCs/>
                <w:color w:val="002060"/>
                <w:sz w:val="20"/>
                <w:szCs w:val="20"/>
              </w:rPr>
            </w:pPr>
            <w:r w:rsidRPr="00781968">
              <w:rPr>
                <w:b/>
                <w:bCs/>
                <w:color w:val="002060"/>
                <w:sz w:val="20"/>
                <w:szCs w:val="20"/>
              </w:rPr>
              <w:t>Programada</w:t>
            </w:r>
          </w:p>
        </w:tc>
        <w:tc>
          <w:tcPr>
            <w:tcW w:w="1245" w:type="dxa"/>
          </w:tcPr>
          <w:p w14:paraId="40899AD5" w14:textId="77777777" w:rsidR="00464642" w:rsidRPr="00781968" w:rsidRDefault="00416049">
            <w:pPr>
              <w:widowControl w:val="0"/>
              <w:spacing w:after="0" w:line="240" w:lineRule="auto"/>
              <w:jc w:val="center"/>
              <w:rPr>
                <w:b/>
                <w:bCs/>
                <w:color w:val="002060"/>
                <w:sz w:val="20"/>
                <w:szCs w:val="20"/>
              </w:rPr>
            </w:pPr>
            <w:r w:rsidRPr="00781968">
              <w:rPr>
                <w:b/>
                <w:bCs/>
                <w:color w:val="002060"/>
                <w:sz w:val="20"/>
                <w:szCs w:val="20"/>
              </w:rPr>
              <w:t xml:space="preserve">Magnitud </w:t>
            </w:r>
          </w:p>
          <w:p w14:paraId="7A05B6FD" w14:textId="77777777" w:rsidR="00464642" w:rsidRPr="00781968" w:rsidRDefault="00416049">
            <w:pPr>
              <w:widowControl w:val="0"/>
              <w:spacing w:after="0" w:line="240" w:lineRule="auto"/>
              <w:jc w:val="center"/>
              <w:rPr>
                <w:b/>
                <w:bCs/>
                <w:color w:val="002060"/>
                <w:sz w:val="20"/>
                <w:szCs w:val="20"/>
              </w:rPr>
            </w:pPr>
            <w:r w:rsidRPr="00781968">
              <w:rPr>
                <w:b/>
                <w:bCs/>
                <w:color w:val="002060"/>
                <w:sz w:val="20"/>
                <w:szCs w:val="20"/>
              </w:rPr>
              <w:t>Ejecutada</w:t>
            </w:r>
          </w:p>
        </w:tc>
        <w:tc>
          <w:tcPr>
            <w:tcW w:w="1530" w:type="dxa"/>
          </w:tcPr>
          <w:p w14:paraId="484A1167" w14:textId="77777777" w:rsidR="00464642" w:rsidRPr="00781968" w:rsidRDefault="00416049">
            <w:pPr>
              <w:widowControl w:val="0"/>
              <w:spacing w:after="0" w:line="240" w:lineRule="auto"/>
              <w:jc w:val="center"/>
              <w:rPr>
                <w:b/>
                <w:bCs/>
                <w:color w:val="002060"/>
                <w:sz w:val="20"/>
                <w:szCs w:val="20"/>
              </w:rPr>
            </w:pPr>
            <w:r w:rsidRPr="00781968">
              <w:rPr>
                <w:b/>
                <w:bCs/>
                <w:color w:val="002060"/>
                <w:sz w:val="20"/>
                <w:szCs w:val="20"/>
              </w:rPr>
              <w:t>% de Cumplimiento</w:t>
            </w:r>
          </w:p>
        </w:tc>
        <w:tc>
          <w:tcPr>
            <w:tcW w:w="6585" w:type="dxa"/>
          </w:tcPr>
          <w:p w14:paraId="5C8A823E" w14:textId="77777777" w:rsidR="00464642" w:rsidRPr="00781968" w:rsidRDefault="00416049">
            <w:pPr>
              <w:widowControl w:val="0"/>
              <w:spacing w:after="0" w:line="240" w:lineRule="auto"/>
              <w:jc w:val="center"/>
              <w:rPr>
                <w:b/>
                <w:bCs/>
                <w:color w:val="002060"/>
                <w:sz w:val="20"/>
                <w:szCs w:val="20"/>
              </w:rPr>
            </w:pPr>
            <w:r w:rsidRPr="00781968">
              <w:rPr>
                <w:b/>
                <w:bCs/>
                <w:color w:val="002060"/>
                <w:sz w:val="20"/>
                <w:szCs w:val="20"/>
              </w:rPr>
              <w:t>Logros, Avances y Dificultades</w:t>
            </w:r>
          </w:p>
        </w:tc>
      </w:tr>
      <w:tr w:rsidR="00781968" w:rsidRPr="00781968" w14:paraId="5DBFE78B" w14:textId="77777777" w:rsidTr="00781968">
        <w:trPr>
          <w:trHeight w:val="420"/>
        </w:trPr>
        <w:tc>
          <w:tcPr>
            <w:tcW w:w="2565" w:type="dxa"/>
          </w:tcPr>
          <w:p w14:paraId="291A4F34" w14:textId="77777777" w:rsidR="00464642" w:rsidRPr="00781968" w:rsidRDefault="00416049">
            <w:pPr>
              <w:widowControl w:val="0"/>
              <w:spacing w:after="0" w:line="240" w:lineRule="auto"/>
              <w:jc w:val="both"/>
              <w:rPr>
                <w:color w:val="002060"/>
                <w:sz w:val="18"/>
                <w:szCs w:val="18"/>
              </w:rPr>
            </w:pPr>
            <w:r w:rsidRPr="00781968">
              <w:rPr>
                <w:color w:val="002060"/>
                <w:sz w:val="18"/>
                <w:szCs w:val="18"/>
              </w:rPr>
              <w:t>413.Diseñar y ejecutar una estrategia para la participación ciudadana incidente, orientada a promover dinámicas de movilidad segura, incluyente, sostenible y accesible.</w:t>
            </w:r>
          </w:p>
        </w:tc>
        <w:tc>
          <w:tcPr>
            <w:tcW w:w="1500" w:type="dxa"/>
          </w:tcPr>
          <w:p w14:paraId="715D3B54" w14:textId="77777777" w:rsidR="00464642" w:rsidRPr="00781968" w:rsidRDefault="00416049">
            <w:pPr>
              <w:widowControl w:val="0"/>
              <w:spacing w:after="0" w:line="240" w:lineRule="auto"/>
              <w:jc w:val="center"/>
              <w:rPr>
                <w:color w:val="002060"/>
                <w:sz w:val="18"/>
                <w:szCs w:val="18"/>
              </w:rPr>
            </w:pPr>
            <w:r w:rsidRPr="00781968">
              <w:rPr>
                <w:color w:val="002060"/>
                <w:sz w:val="18"/>
                <w:szCs w:val="18"/>
              </w:rPr>
              <w:t>0,12</w:t>
            </w:r>
          </w:p>
        </w:tc>
        <w:tc>
          <w:tcPr>
            <w:tcW w:w="1245" w:type="dxa"/>
          </w:tcPr>
          <w:p w14:paraId="20BA039F" w14:textId="77777777" w:rsidR="00464642" w:rsidRPr="00781968" w:rsidRDefault="00416049">
            <w:pPr>
              <w:widowControl w:val="0"/>
              <w:spacing w:after="0" w:line="240" w:lineRule="auto"/>
              <w:jc w:val="center"/>
              <w:rPr>
                <w:color w:val="002060"/>
                <w:sz w:val="18"/>
                <w:szCs w:val="18"/>
              </w:rPr>
            </w:pPr>
            <w:r w:rsidRPr="00781968">
              <w:rPr>
                <w:color w:val="002060"/>
                <w:sz w:val="18"/>
                <w:szCs w:val="18"/>
              </w:rPr>
              <w:t>0,12</w:t>
            </w:r>
          </w:p>
        </w:tc>
        <w:tc>
          <w:tcPr>
            <w:tcW w:w="1530" w:type="dxa"/>
          </w:tcPr>
          <w:p w14:paraId="1B29B937" w14:textId="77777777" w:rsidR="00464642" w:rsidRPr="00781968" w:rsidRDefault="00416049">
            <w:pPr>
              <w:widowControl w:val="0"/>
              <w:spacing w:after="0" w:line="240" w:lineRule="auto"/>
              <w:jc w:val="center"/>
              <w:rPr>
                <w:color w:val="002060"/>
                <w:sz w:val="18"/>
                <w:szCs w:val="18"/>
              </w:rPr>
            </w:pPr>
            <w:r w:rsidRPr="00781968">
              <w:rPr>
                <w:color w:val="002060"/>
                <w:sz w:val="18"/>
                <w:szCs w:val="18"/>
              </w:rPr>
              <w:t>100%</w:t>
            </w:r>
          </w:p>
        </w:tc>
        <w:tc>
          <w:tcPr>
            <w:tcW w:w="6585" w:type="dxa"/>
          </w:tcPr>
          <w:p w14:paraId="2AB32D47" w14:textId="77777777" w:rsidR="00464642" w:rsidRPr="00781968" w:rsidRDefault="00416049">
            <w:pPr>
              <w:widowControl w:val="0"/>
              <w:spacing w:before="240" w:after="240" w:line="240" w:lineRule="auto"/>
              <w:jc w:val="both"/>
              <w:rPr>
                <w:color w:val="002060"/>
                <w:sz w:val="18"/>
                <w:szCs w:val="18"/>
              </w:rPr>
            </w:pPr>
            <w:r w:rsidRPr="00781968">
              <w:rPr>
                <w:color w:val="002060"/>
                <w:sz w:val="18"/>
                <w:szCs w:val="18"/>
              </w:rPr>
              <w:t xml:space="preserve">Se realizaron 1.620 jornadas de divulgación de forma presencial o virtual de acuerdo con las necesidades y regulaciones, 132 jornadas de socialización y 1.264 de información con las cuales se buscó generar procesos de diálogo con la ciudadanía, articular los objetivos de la entidad con las percepciones y opiniones ciudadanas, informar planes y proyectos de la entidad que generen impacto en el territorio. Se implementó la estrategia de </w:t>
            </w:r>
            <w:r w:rsidRPr="00781968">
              <w:rPr>
                <w:color w:val="002060"/>
                <w:sz w:val="18"/>
                <w:szCs w:val="18"/>
              </w:rPr>
              <w:lastRenderedPageBreak/>
              <w:t>formación a través de los cuatro módulos propuestos en el Plan Institucional de Participación, llevando a cabo 300 jornadas de formación en instituciones educativas, al interior de las Juntas de Acción Comunal y en los Centros Locales de Movilidad, con la participación de 22.972 ciudadanos y ciudadanas, abarcando los siguientes temas:</w:t>
            </w:r>
          </w:p>
          <w:p w14:paraId="36DCBC68" w14:textId="77777777" w:rsidR="00464642" w:rsidRPr="00781968" w:rsidRDefault="00416049">
            <w:pPr>
              <w:widowControl w:val="0"/>
              <w:spacing w:before="80" w:after="80" w:line="240" w:lineRule="auto"/>
              <w:jc w:val="both"/>
              <w:rPr>
                <w:color w:val="002060"/>
                <w:sz w:val="18"/>
                <w:szCs w:val="18"/>
              </w:rPr>
            </w:pPr>
            <w:r w:rsidRPr="00781968">
              <w:rPr>
                <w:color w:val="002060"/>
                <w:sz w:val="18"/>
                <w:szCs w:val="18"/>
              </w:rPr>
              <w:t>* Seguridad vial</w:t>
            </w:r>
          </w:p>
          <w:p w14:paraId="4D34C3C9" w14:textId="77777777" w:rsidR="00464642" w:rsidRPr="00781968" w:rsidRDefault="00416049">
            <w:pPr>
              <w:widowControl w:val="0"/>
              <w:spacing w:before="80" w:after="80" w:line="240" w:lineRule="auto"/>
              <w:jc w:val="both"/>
              <w:rPr>
                <w:color w:val="002060"/>
                <w:sz w:val="18"/>
                <w:szCs w:val="18"/>
              </w:rPr>
            </w:pPr>
            <w:r w:rsidRPr="00781968">
              <w:rPr>
                <w:color w:val="002060"/>
                <w:sz w:val="18"/>
                <w:szCs w:val="18"/>
              </w:rPr>
              <w:t>* Movilidad incluyente y accesible.</w:t>
            </w:r>
          </w:p>
          <w:p w14:paraId="7C47E655" w14:textId="77777777" w:rsidR="00464642" w:rsidRPr="00781968" w:rsidRDefault="00416049">
            <w:pPr>
              <w:widowControl w:val="0"/>
              <w:spacing w:before="80" w:after="80" w:line="240" w:lineRule="auto"/>
              <w:jc w:val="both"/>
              <w:rPr>
                <w:color w:val="002060"/>
                <w:sz w:val="18"/>
                <w:szCs w:val="18"/>
              </w:rPr>
            </w:pPr>
            <w:r w:rsidRPr="00781968">
              <w:rPr>
                <w:color w:val="002060"/>
                <w:sz w:val="18"/>
                <w:szCs w:val="18"/>
              </w:rPr>
              <w:t>* Movilidad multimodal.</w:t>
            </w:r>
          </w:p>
          <w:p w14:paraId="6D5C55CB" w14:textId="77777777" w:rsidR="00464642" w:rsidRPr="00781968" w:rsidRDefault="00416049">
            <w:pPr>
              <w:widowControl w:val="0"/>
              <w:spacing w:before="80" w:after="80" w:line="240" w:lineRule="auto"/>
              <w:jc w:val="both"/>
              <w:rPr>
                <w:color w:val="002060"/>
                <w:sz w:val="18"/>
                <w:szCs w:val="18"/>
              </w:rPr>
            </w:pPr>
            <w:r w:rsidRPr="00781968">
              <w:rPr>
                <w:color w:val="002060"/>
                <w:sz w:val="18"/>
                <w:szCs w:val="18"/>
              </w:rPr>
              <w:t>* Movilidad sostenible.</w:t>
            </w:r>
          </w:p>
          <w:p w14:paraId="0A5443F6" w14:textId="0DEF1419" w:rsidR="00464642" w:rsidRPr="00781968" w:rsidRDefault="00416049">
            <w:pPr>
              <w:widowControl w:val="0"/>
              <w:spacing w:before="240" w:after="240" w:line="240" w:lineRule="auto"/>
              <w:jc w:val="both"/>
              <w:rPr>
                <w:color w:val="002060"/>
                <w:sz w:val="18"/>
                <w:szCs w:val="18"/>
              </w:rPr>
            </w:pPr>
            <w:r w:rsidRPr="00781968">
              <w:rPr>
                <w:color w:val="002060"/>
                <w:sz w:val="18"/>
                <w:szCs w:val="18"/>
              </w:rPr>
              <w:t>Durante el período, la entidad participó en 2.530 jornadas de cualificación en los Centros Locales de Movilidad para promover la incidencia de la participación ciudadana en las acciones, proyectos, programas, planes y políticas orientadas a la movilidad segura, accesible, incluyente, sostenible y multimodal en Bogotá Con las Jornadas de Divulgación, Socialización e información se buscó generar procesos de diálogo con la ciudadanía, articular los objetivos de la entidad con las percepciones y opiniones ciudadanas, informar planes y proyectos de la entidad que generen impacto en el territorio; también, brindar herramientas que faciliten el control social desde la ciudadanía y con la publicación de información en carteleras en los Centros Locales de Movilidad, se benefició a la comunidad con la facilitación de la información que produce nuestro sector. Igualmente, la implementación de la estrategia de formación (Seguridad vial, Movilidad incluyente, Movilidad multimodal y Movilidad sostenible), permitió la vinculación incidente de la ciudadanía para que conozcan de manera fiable los elementos estructurantes, la normatividad y los conceptos técnicos propios de la movilidad en el entorno. Por medio de las articulaciones interinstitucionales donde se llevan a cabo las reuniones con las instancias de participación, permitió brindar información oportuna para dar elementos y lineamientos para la implementación de ejercicios de participación que inciden en las políticas, programas, proyectos e implementaciones, así como visibilizar problemáticas, construir propuestas, identificar los intereses y hacer control social desde procesos colectivos ciudadanos.</w:t>
            </w:r>
          </w:p>
        </w:tc>
      </w:tr>
    </w:tbl>
    <w:p w14:paraId="18BA65E8" w14:textId="0E5B8366" w:rsidR="00464642" w:rsidRDefault="00464642"/>
    <w:tbl>
      <w:tblPr>
        <w:tblStyle w:val="afff0"/>
        <w:tblW w:w="13425"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13425"/>
      </w:tblGrid>
      <w:tr w:rsidR="00464642" w14:paraId="2D751E1D" w14:textId="77777777" w:rsidTr="006025AD">
        <w:trPr>
          <w:trHeight w:val="420"/>
          <w:tblHeader/>
        </w:trPr>
        <w:tc>
          <w:tcPr>
            <w:tcW w:w="13425" w:type="dxa"/>
            <w:shd w:val="clear" w:color="auto" w:fill="4F81BD"/>
            <w:tcMar>
              <w:top w:w="100" w:type="dxa"/>
              <w:left w:w="100" w:type="dxa"/>
              <w:bottom w:w="100" w:type="dxa"/>
              <w:right w:w="100" w:type="dxa"/>
            </w:tcMar>
          </w:tcPr>
          <w:p w14:paraId="41E44202" w14:textId="465D4028" w:rsidR="00464642" w:rsidRPr="00781968" w:rsidRDefault="00416049">
            <w:pPr>
              <w:widowControl w:val="0"/>
              <w:spacing w:before="40" w:after="0" w:line="240" w:lineRule="auto"/>
              <w:jc w:val="center"/>
              <w:rPr>
                <w:color w:val="FFFFFF" w:themeColor="background1"/>
              </w:rPr>
            </w:pPr>
            <w:r w:rsidRPr="00781968">
              <w:rPr>
                <w:color w:val="FFFFFF" w:themeColor="background1"/>
              </w:rPr>
              <w:t>PROGRAMA 56</w:t>
            </w:r>
            <w:r w:rsidRPr="00781968">
              <w:rPr>
                <w:b/>
                <w:color w:val="FFFFFF" w:themeColor="background1"/>
              </w:rPr>
              <w:t xml:space="preserve">: </w:t>
            </w:r>
            <w:r w:rsidRPr="00781968">
              <w:rPr>
                <w:color w:val="FFFFFF" w:themeColor="background1"/>
                <w:sz w:val="20"/>
                <w:szCs w:val="20"/>
              </w:rPr>
              <w:t>GESTIÓN PÚBLICA EFECTIVA</w:t>
            </w:r>
          </w:p>
          <w:p w14:paraId="6CC52090" w14:textId="77777777" w:rsidR="00464642" w:rsidRPr="00781968" w:rsidRDefault="00416049">
            <w:pPr>
              <w:widowControl w:val="0"/>
              <w:spacing w:before="40" w:after="0" w:line="240" w:lineRule="auto"/>
              <w:rPr>
                <w:color w:val="FFFFFF" w:themeColor="background1"/>
                <w:sz w:val="20"/>
                <w:szCs w:val="20"/>
              </w:rPr>
            </w:pPr>
            <w:r w:rsidRPr="00781968">
              <w:rPr>
                <w:b/>
                <w:color w:val="FFFFFF" w:themeColor="background1"/>
                <w:sz w:val="20"/>
                <w:szCs w:val="20"/>
              </w:rPr>
              <w:t>7653:</w:t>
            </w:r>
            <w:r w:rsidRPr="00781968">
              <w:rPr>
                <w:color w:val="FFFFFF" w:themeColor="background1"/>
                <w:sz w:val="20"/>
                <w:szCs w:val="20"/>
              </w:rPr>
              <w:t xml:space="preserve"> Implementación de políticas integrales y transparentes al servicio de la ciudadanía en Bogotá</w:t>
            </w:r>
          </w:p>
          <w:p w14:paraId="617F2C59" w14:textId="77777777" w:rsidR="00464642" w:rsidRPr="00781968" w:rsidRDefault="00416049">
            <w:pPr>
              <w:widowControl w:val="0"/>
              <w:spacing w:before="40" w:after="0" w:line="240" w:lineRule="auto"/>
              <w:rPr>
                <w:color w:val="FFFFFF" w:themeColor="background1"/>
                <w:sz w:val="20"/>
                <w:szCs w:val="20"/>
              </w:rPr>
            </w:pPr>
            <w:r w:rsidRPr="00781968">
              <w:rPr>
                <w:b/>
                <w:color w:val="FFFFFF" w:themeColor="background1"/>
                <w:sz w:val="20"/>
                <w:szCs w:val="20"/>
              </w:rPr>
              <w:t xml:space="preserve">7593:  </w:t>
            </w:r>
            <w:r w:rsidRPr="00781968">
              <w:rPr>
                <w:color w:val="FFFFFF" w:themeColor="background1"/>
                <w:sz w:val="20"/>
                <w:szCs w:val="20"/>
              </w:rPr>
              <w:t>Investigación por infracción a las normas de tránsito y transporte público en Bogotá</w:t>
            </w:r>
          </w:p>
          <w:p w14:paraId="66D52BDF" w14:textId="77777777" w:rsidR="00464642" w:rsidRPr="00781968" w:rsidRDefault="00416049">
            <w:pPr>
              <w:widowControl w:val="0"/>
              <w:spacing w:before="40" w:after="0" w:line="240" w:lineRule="auto"/>
              <w:rPr>
                <w:color w:val="FFFFFF" w:themeColor="background1"/>
                <w:sz w:val="20"/>
                <w:szCs w:val="20"/>
              </w:rPr>
            </w:pPr>
            <w:r w:rsidRPr="00781968">
              <w:rPr>
                <w:color w:val="FFFFFF" w:themeColor="background1"/>
                <w:sz w:val="20"/>
                <w:szCs w:val="20"/>
              </w:rPr>
              <w:t>7563: Fortalecimiento de las herramientas para la prevención de la corrupción en la Secretaría Distrital de Movilidad</w:t>
            </w:r>
          </w:p>
          <w:p w14:paraId="1B00E62D" w14:textId="77777777" w:rsidR="00464642" w:rsidRPr="00781968" w:rsidRDefault="00416049">
            <w:pPr>
              <w:widowControl w:val="0"/>
              <w:spacing w:before="40" w:after="0" w:line="240" w:lineRule="auto"/>
              <w:rPr>
                <w:color w:val="FFFFFF" w:themeColor="background1"/>
                <w:sz w:val="20"/>
                <w:szCs w:val="20"/>
              </w:rPr>
            </w:pPr>
            <w:r w:rsidRPr="00781968">
              <w:rPr>
                <w:color w:val="FFFFFF" w:themeColor="background1"/>
                <w:sz w:val="20"/>
                <w:szCs w:val="20"/>
              </w:rPr>
              <w:t>7568: Fortalecimiento Institucional De La Secretaría Distrital De Movilidad de Bogotá</w:t>
            </w:r>
          </w:p>
          <w:p w14:paraId="0C8B0FDD" w14:textId="77777777" w:rsidR="00464642" w:rsidRPr="00781968" w:rsidRDefault="00416049">
            <w:pPr>
              <w:widowControl w:val="0"/>
              <w:spacing w:before="40" w:after="0" w:line="240" w:lineRule="auto"/>
              <w:rPr>
                <w:color w:val="FFFFFF" w:themeColor="background1"/>
                <w:sz w:val="20"/>
                <w:szCs w:val="20"/>
              </w:rPr>
            </w:pPr>
            <w:r w:rsidRPr="00781968">
              <w:rPr>
                <w:color w:val="FFFFFF" w:themeColor="background1"/>
                <w:sz w:val="20"/>
                <w:szCs w:val="20"/>
              </w:rPr>
              <w:t>7570: Actualización, mantenimiento y gestión de tecnologías de la información y las comunicaciones para la secretaría distrital de movilidad de Bogotá</w:t>
            </w:r>
          </w:p>
          <w:p w14:paraId="4DEC37A6" w14:textId="77777777" w:rsidR="00464642" w:rsidRPr="00781968" w:rsidRDefault="00416049">
            <w:pPr>
              <w:widowControl w:val="0"/>
              <w:spacing w:before="40" w:after="0" w:line="240" w:lineRule="auto"/>
              <w:rPr>
                <w:color w:val="FFFFFF" w:themeColor="background1"/>
                <w:sz w:val="20"/>
                <w:szCs w:val="20"/>
              </w:rPr>
            </w:pPr>
            <w:r w:rsidRPr="00781968">
              <w:rPr>
                <w:color w:val="FFFFFF" w:themeColor="background1"/>
                <w:sz w:val="20"/>
                <w:szCs w:val="20"/>
              </w:rPr>
              <w:t>7574: Fortalecer la gestión documental de la SDM de Bogotá</w:t>
            </w:r>
          </w:p>
          <w:p w14:paraId="7A1FB524" w14:textId="77777777" w:rsidR="00464642" w:rsidRPr="00781968" w:rsidRDefault="00416049">
            <w:pPr>
              <w:widowControl w:val="0"/>
              <w:spacing w:before="40" w:after="0" w:line="240" w:lineRule="auto"/>
              <w:rPr>
                <w:color w:val="002060"/>
                <w:sz w:val="20"/>
                <w:szCs w:val="20"/>
              </w:rPr>
            </w:pPr>
            <w:r w:rsidRPr="00781968">
              <w:rPr>
                <w:color w:val="FFFFFF" w:themeColor="background1"/>
                <w:sz w:val="20"/>
                <w:szCs w:val="20"/>
              </w:rPr>
              <w:t>7589: Desarrollo de la gestión jurídica en la Secretaría Distrital de Movilidad en Bogotá</w:t>
            </w:r>
          </w:p>
        </w:tc>
      </w:tr>
    </w:tbl>
    <w:p w14:paraId="54320C25" w14:textId="6DA3F790" w:rsidR="00AF4400" w:rsidRPr="00781968" w:rsidRDefault="00AF4400">
      <w:pPr>
        <w:widowControl w:val="0"/>
        <w:spacing w:before="40" w:after="0" w:line="240" w:lineRule="auto"/>
        <w:ind w:left="110"/>
        <w:rPr>
          <w:color w:val="FFFFFF" w:themeColor="background1"/>
        </w:rPr>
      </w:pPr>
    </w:p>
    <w:tbl>
      <w:tblPr>
        <w:tblStyle w:val="Tablaconcuadrcula5oscura-nfasis5"/>
        <w:tblW w:w="13425" w:type="dxa"/>
        <w:tblLayout w:type="fixed"/>
        <w:tblLook w:val="0600" w:firstRow="0" w:lastRow="0" w:firstColumn="0" w:lastColumn="0" w:noHBand="1" w:noVBand="1"/>
      </w:tblPr>
      <w:tblGrid>
        <w:gridCol w:w="2565"/>
        <w:gridCol w:w="1875"/>
        <w:gridCol w:w="1275"/>
        <w:gridCol w:w="1785"/>
        <w:gridCol w:w="5925"/>
      </w:tblGrid>
      <w:tr w:rsidR="00464642" w:rsidRPr="00AF4400" w14:paraId="4B3288AD" w14:textId="77777777" w:rsidTr="00330B6F">
        <w:trPr>
          <w:trHeight w:val="451"/>
          <w:tblHeader/>
        </w:trPr>
        <w:tc>
          <w:tcPr>
            <w:tcW w:w="2565" w:type="dxa"/>
          </w:tcPr>
          <w:p w14:paraId="01111814" w14:textId="3A80E44C" w:rsidR="00464642" w:rsidRPr="00AF4400" w:rsidRDefault="00416049">
            <w:pPr>
              <w:widowControl w:val="0"/>
              <w:spacing w:after="0" w:line="240" w:lineRule="auto"/>
              <w:rPr>
                <w:color w:val="002060"/>
                <w:sz w:val="20"/>
                <w:szCs w:val="20"/>
              </w:rPr>
            </w:pPr>
            <w:r w:rsidRPr="00AF4400">
              <w:rPr>
                <w:color w:val="002060"/>
                <w:sz w:val="20"/>
                <w:szCs w:val="20"/>
              </w:rPr>
              <w:t>Meta</w:t>
            </w:r>
          </w:p>
        </w:tc>
        <w:tc>
          <w:tcPr>
            <w:tcW w:w="1875" w:type="dxa"/>
          </w:tcPr>
          <w:p w14:paraId="07D56D11" w14:textId="77777777" w:rsidR="00464642" w:rsidRPr="00AF4400" w:rsidRDefault="00416049">
            <w:pPr>
              <w:widowControl w:val="0"/>
              <w:spacing w:after="0" w:line="240" w:lineRule="auto"/>
              <w:rPr>
                <w:color w:val="002060"/>
                <w:sz w:val="20"/>
                <w:szCs w:val="20"/>
              </w:rPr>
            </w:pPr>
            <w:r w:rsidRPr="00AF4400">
              <w:rPr>
                <w:color w:val="002060"/>
                <w:sz w:val="20"/>
                <w:szCs w:val="20"/>
              </w:rPr>
              <w:t>Magnitud</w:t>
            </w:r>
          </w:p>
          <w:p w14:paraId="21C5E8B1" w14:textId="77777777" w:rsidR="00464642" w:rsidRPr="00AF4400" w:rsidRDefault="00416049">
            <w:pPr>
              <w:widowControl w:val="0"/>
              <w:spacing w:after="0" w:line="240" w:lineRule="auto"/>
              <w:rPr>
                <w:color w:val="002060"/>
                <w:sz w:val="20"/>
                <w:szCs w:val="20"/>
              </w:rPr>
            </w:pPr>
            <w:r w:rsidRPr="00AF4400">
              <w:rPr>
                <w:color w:val="002060"/>
                <w:sz w:val="20"/>
                <w:szCs w:val="20"/>
              </w:rPr>
              <w:t>Programada</w:t>
            </w:r>
          </w:p>
        </w:tc>
        <w:tc>
          <w:tcPr>
            <w:tcW w:w="1275" w:type="dxa"/>
          </w:tcPr>
          <w:p w14:paraId="407C802A" w14:textId="77777777" w:rsidR="00464642" w:rsidRPr="00AF4400" w:rsidRDefault="00416049">
            <w:pPr>
              <w:widowControl w:val="0"/>
              <w:spacing w:after="0" w:line="240" w:lineRule="auto"/>
              <w:rPr>
                <w:color w:val="002060"/>
                <w:sz w:val="20"/>
                <w:szCs w:val="20"/>
              </w:rPr>
            </w:pPr>
            <w:r w:rsidRPr="00AF4400">
              <w:rPr>
                <w:color w:val="002060"/>
                <w:sz w:val="20"/>
                <w:szCs w:val="20"/>
              </w:rPr>
              <w:t xml:space="preserve">Magnitud </w:t>
            </w:r>
          </w:p>
          <w:p w14:paraId="034DB3C0" w14:textId="77777777" w:rsidR="00464642" w:rsidRPr="00AF4400" w:rsidRDefault="00416049">
            <w:pPr>
              <w:widowControl w:val="0"/>
              <w:spacing w:after="0" w:line="240" w:lineRule="auto"/>
              <w:rPr>
                <w:color w:val="002060"/>
                <w:sz w:val="20"/>
                <w:szCs w:val="20"/>
              </w:rPr>
            </w:pPr>
            <w:r w:rsidRPr="00AF4400">
              <w:rPr>
                <w:color w:val="002060"/>
                <w:sz w:val="20"/>
                <w:szCs w:val="20"/>
              </w:rPr>
              <w:t>Ejecutada</w:t>
            </w:r>
          </w:p>
        </w:tc>
        <w:tc>
          <w:tcPr>
            <w:tcW w:w="1785" w:type="dxa"/>
          </w:tcPr>
          <w:p w14:paraId="56F57882" w14:textId="77777777" w:rsidR="00464642" w:rsidRPr="00AF4400" w:rsidRDefault="00416049">
            <w:pPr>
              <w:widowControl w:val="0"/>
              <w:spacing w:after="0" w:line="240" w:lineRule="auto"/>
              <w:rPr>
                <w:color w:val="002060"/>
                <w:sz w:val="20"/>
                <w:szCs w:val="20"/>
              </w:rPr>
            </w:pPr>
            <w:r w:rsidRPr="00AF4400">
              <w:rPr>
                <w:color w:val="002060"/>
                <w:sz w:val="20"/>
                <w:szCs w:val="20"/>
              </w:rPr>
              <w:t>% de Cumplimiento</w:t>
            </w:r>
          </w:p>
        </w:tc>
        <w:tc>
          <w:tcPr>
            <w:tcW w:w="5925" w:type="dxa"/>
          </w:tcPr>
          <w:p w14:paraId="221CF011" w14:textId="77777777" w:rsidR="00464642" w:rsidRPr="00AF4400" w:rsidRDefault="00416049">
            <w:pPr>
              <w:widowControl w:val="0"/>
              <w:spacing w:after="0" w:line="240" w:lineRule="auto"/>
              <w:jc w:val="center"/>
              <w:rPr>
                <w:color w:val="002060"/>
                <w:sz w:val="20"/>
                <w:szCs w:val="20"/>
              </w:rPr>
            </w:pPr>
            <w:r w:rsidRPr="00AF4400">
              <w:rPr>
                <w:color w:val="002060"/>
                <w:sz w:val="20"/>
                <w:szCs w:val="20"/>
              </w:rPr>
              <w:t>Logros, Avances y Dificultades</w:t>
            </w:r>
          </w:p>
        </w:tc>
      </w:tr>
      <w:tr w:rsidR="00464642" w:rsidRPr="00AF4400" w14:paraId="038C9E17" w14:textId="77777777" w:rsidTr="00AF4400">
        <w:trPr>
          <w:trHeight w:val="420"/>
        </w:trPr>
        <w:tc>
          <w:tcPr>
            <w:tcW w:w="2565" w:type="dxa"/>
          </w:tcPr>
          <w:p w14:paraId="6CB24024" w14:textId="77777777" w:rsidR="00464642" w:rsidRPr="00AF4400" w:rsidRDefault="00416049">
            <w:pPr>
              <w:widowControl w:val="0"/>
              <w:spacing w:after="0" w:line="240" w:lineRule="auto"/>
              <w:jc w:val="both"/>
              <w:rPr>
                <w:color w:val="002060"/>
                <w:sz w:val="18"/>
                <w:szCs w:val="18"/>
              </w:rPr>
            </w:pPr>
            <w:r w:rsidRPr="00AF4400">
              <w:rPr>
                <w:color w:val="002060"/>
                <w:sz w:val="18"/>
                <w:szCs w:val="18"/>
              </w:rPr>
              <w:t>482.Aumentar el índice de satisfacción al usuario de las entidades del Sector Movilidad en 5 puntos porcentuales.</w:t>
            </w:r>
          </w:p>
        </w:tc>
        <w:tc>
          <w:tcPr>
            <w:tcW w:w="1875" w:type="dxa"/>
          </w:tcPr>
          <w:p w14:paraId="0D53A97B" w14:textId="77777777" w:rsidR="00464642" w:rsidRPr="00AF4400" w:rsidRDefault="00416049">
            <w:pPr>
              <w:widowControl w:val="0"/>
              <w:spacing w:after="0" w:line="240" w:lineRule="auto"/>
              <w:jc w:val="center"/>
              <w:rPr>
                <w:color w:val="002060"/>
                <w:sz w:val="18"/>
                <w:szCs w:val="18"/>
              </w:rPr>
            </w:pPr>
            <w:r w:rsidRPr="00AF4400">
              <w:rPr>
                <w:color w:val="002060"/>
                <w:sz w:val="18"/>
                <w:szCs w:val="18"/>
              </w:rPr>
              <w:t>96,10%</w:t>
            </w:r>
          </w:p>
        </w:tc>
        <w:tc>
          <w:tcPr>
            <w:tcW w:w="1275" w:type="dxa"/>
          </w:tcPr>
          <w:p w14:paraId="5D9985A9" w14:textId="77777777" w:rsidR="00464642" w:rsidRPr="00AF4400" w:rsidRDefault="00416049">
            <w:pPr>
              <w:widowControl w:val="0"/>
              <w:spacing w:after="0" w:line="240" w:lineRule="auto"/>
              <w:jc w:val="center"/>
              <w:rPr>
                <w:color w:val="002060"/>
                <w:sz w:val="18"/>
                <w:szCs w:val="18"/>
              </w:rPr>
            </w:pPr>
            <w:r w:rsidRPr="00AF4400">
              <w:rPr>
                <w:color w:val="002060"/>
                <w:sz w:val="18"/>
                <w:szCs w:val="18"/>
              </w:rPr>
              <w:t>97,05%</w:t>
            </w:r>
          </w:p>
        </w:tc>
        <w:tc>
          <w:tcPr>
            <w:tcW w:w="1785" w:type="dxa"/>
          </w:tcPr>
          <w:p w14:paraId="65A98427" w14:textId="77777777" w:rsidR="00464642" w:rsidRPr="00AF4400" w:rsidRDefault="00416049">
            <w:pPr>
              <w:widowControl w:val="0"/>
              <w:spacing w:after="0" w:line="240" w:lineRule="auto"/>
              <w:jc w:val="both"/>
              <w:rPr>
                <w:color w:val="002060"/>
                <w:sz w:val="18"/>
                <w:szCs w:val="18"/>
              </w:rPr>
            </w:pPr>
            <w:r w:rsidRPr="00AF4400">
              <w:rPr>
                <w:color w:val="002060"/>
                <w:sz w:val="18"/>
                <w:szCs w:val="18"/>
              </w:rPr>
              <w:t>100,99%</w:t>
            </w:r>
          </w:p>
        </w:tc>
        <w:tc>
          <w:tcPr>
            <w:tcW w:w="5925" w:type="dxa"/>
          </w:tcPr>
          <w:p w14:paraId="333FAB41"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En lo corrido de la vigencia 2024, se aplicó la encuesta de satisfacción en los procesos que interactúan con la ciudadanía, obteniendo como porcentaje de satisfacción un 97%. Para alcanzar este resultado se llevaron a cabo las siguientes estrategias:</w:t>
            </w:r>
          </w:p>
          <w:p w14:paraId="2C99A359"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 Implementación del modelo de gestores de calle y el seguimiento al correcto manejo del sistema de agendamiento.</w:t>
            </w:r>
          </w:p>
          <w:p w14:paraId="1D1C52CB"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 Acompañamiento a la correcta implementación del nuevo sistema contravencional que impactará los trámites y servicios de movilidad.</w:t>
            </w:r>
          </w:p>
          <w:p w14:paraId="62A0F7D5"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 Implementación del monitoreo mensual a los canales de atención de la Secretaría Distrital de Movilidad - SDM.</w:t>
            </w:r>
          </w:p>
          <w:p w14:paraId="54508829"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 Implementación de la estrategia de solución en primer contacto, la verificación de la adecuada integración de los sistemas de la SDM.</w:t>
            </w:r>
          </w:p>
          <w:p w14:paraId="3084684F"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 Seguimiento a la correcta implementación del modelo de gestores asegurando que los roles del gestor de acompañamiento.</w:t>
            </w:r>
          </w:p>
          <w:p w14:paraId="62A26940"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 xml:space="preserve">- Entrega de herramientas de consulta a los colaboradores del canal presencial </w:t>
            </w:r>
            <w:r w:rsidRPr="00AF4400">
              <w:rPr>
                <w:color w:val="002060"/>
                <w:sz w:val="18"/>
                <w:szCs w:val="18"/>
              </w:rPr>
              <w:lastRenderedPageBreak/>
              <w:t>que permiten realizar soluciones en primer contacto.</w:t>
            </w:r>
          </w:p>
          <w:p w14:paraId="0BACB231"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 Diversificación de las herramientas virtuales de atención y gestión a través del nuevo contacto del BPO.</w:t>
            </w:r>
          </w:p>
          <w:p w14:paraId="7B3CB187"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 Implementación del sistema de asignación de turnos avanzado.</w:t>
            </w:r>
          </w:p>
          <w:p w14:paraId="62737CEE" w14:textId="77777777" w:rsidR="00464642" w:rsidRPr="00AF4400" w:rsidRDefault="00416049">
            <w:pPr>
              <w:widowControl w:val="0"/>
              <w:spacing w:before="80" w:after="80" w:line="240" w:lineRule="auto"/>
              <w:jc w:val="both"/>
              <w:rPr>
                <w:color w:val="002060"/>
                <w:sz w:val="18"/>
                <w:szCs w:val="18"/>
              </w:rPr>
            </w:pPr>
            <w:r w:rsidRPr="00AF4400">
              <w:rPr>
                <w:color w:val="002060"/>
                <w:sz w:val="18"/>
                <w:szCs w:val="18"/>
              </w:rPr>
              <w:t>Así mismo, para fortalecer las competencias del talento humano, se realizaron socializaciones y jornadas de cualificación en el servicio a los gestores y colaboradores que están de cara a la ciudadanía. Con la implementación del modelo de gestores de calle se permite garantizar un primer contacto con la ciudadanía fuera de las instalaciones, al brindar información actualizada y oportuna de los trámites y servicios de la SDM, brindando confiabilidad y cercanía a la ciudadanía. Por su parte, con la ejecución de pruebas piloto del nuevo sistema contravencional se busca garantizar condiciones de funcionamiento óptimas en ambiente de operación, con el fin de fortalecer la interacción del sistema con los colaboradores y verificar el cumplimiento de las necesidades de la ciudadanía en la ejecución de los trámites y servicios de la SDM. Así mismo, con la aplicación del monitoreo al seguimiento de los canales de atención, se busca asegurar el cumplimiento de los elementos que componen el servicio (talento humano, proveedores, infraestructura, capacidad institucional, etc.), obteniendo información relevante que permita implementar acciones a que haya lugar. Para finalizar, con las jornadas de cualificación de servicio y socializaciones dirigida a los Gestores (as) de servicio y apoyos a la gestión buscando fortalecer el conocimiento de los servidores con respecto a la misionalidad, política de servicio y la oferta de trámites y servicios, con el fin de brindar información actualizada y oportuna a la ciudadanía.</w:t>
            </w:r>
          </w:p>
        </w:tc>
      </w:tr>
      <w:tr w:rsidR="00464642" w:rsidRPr="00AF4400" w14:paraId="04B6CC30" w14:textId="77777777" w:rsidTr="00AF4400">
        <w:trPr>
          <w:trHeight w:val="420"/>
        </w:trPr>
        <w:tc>
          <w:tcPr>
            <w:tcW w:w="2565" w:type="dxa"/>
            <w:shd w:val="clear" w:color="auto" w:fill="D9D9D9" w:themeFill="background1" w:themeFillShade="D9"/>
          </w:tcPr>
          <w:p w14:paraId="449993D9" w14:textId="77777777" w:rsidR="00464642" w:rsidRPr="00AF4400" w:rsidRDefault="00416049">
            <w:pPr>
              <w:widowControl w:val="0"/>
              <w:spacing w:before="240" w:after="0" w:line="276" w:lineRule="auto"/>
              <w:jc w:val="both"/>
              <w:rPr>
                <w:color w:val="002060"/>
                <w:sz w:val="18"/>
                <w:szCs w:val="18"/>
              </w:rPr>
            </w:pPr>
            <w:r w:rsidRPr="00AF4400">
              <w:rPr>
                <w:color w:val="002060"/>
                <w:sz w:val="18"/>
                <w:szCs w:val="18"/>
              </w:rPr>
              <w:lastRenderedPageBreak/>
              <w:t>483.Aumentar en 5 puntos el Índice de Desempeño Institucional para las entidades del Sector Movilidad, en el marco de las políticas de MIPG</w:t>
            </w:r>
          </w:p>
        </w:tc>
        <w:tc>
          <w:tcPr>
            <w:tcW w:w="1875" w:type="dxa"/>
            <w:shd w:val="clear" w:color="auto" w:fill="D9D9D9" w:themeFill="background1" w:themeFillShade="D9"/>
          </w:tcPr>
          <w:p w14:paraId="52C9CE36" w14:textId="77777777" w:rsidR="00464642" w:rsidRPr="00AF4400" w:rsidRDefault="00416049">
            <w:pPr>
              <w:widowControl w:val="0"/>
              <w:spacing w:after="0" w:line="240" w:lineRule="auto"/>
              <w:jc w:val="center"/>
              <w:rPr>
                <w:color w:val="002060"/>
                <w:sz w:val="18"/>
                <w:szCs w:val="18"/>
              </w:rPr>
            </w:pPr>
            <w:r w:rsidRPr="00AF4400">
              <w:rPr>
                <w:color w:val="002060"/>
                <w:sz w:val="18"/>
                <w:szCs w:val="18"/>
              </w:rPr>
              <w:t>90,30%</w:t>
            </w:r>
          </w:p>
        </w:tc>
        <w:tc>
          <w:tcPr>
            <w:tcW w:w="1275" w:type="dxa"/>
            <w:shd w:val="clear" w:color="auto" w:fill="D9D9D9" w:themeFill="background1" w:themeFillShade="D9"/>
          </w:tcPr>
          <w:p w14:paraId="22F8DA6A" w14:textId="77777777" w:rsidR="00464642" w:rsidRPr="00AF4400" w:rsidRDefault="00416049">
            <w:pPr>
              <w:widowControl w:val="0"/>
              <w:spacing w:after="0" w:line="240" w:lineRule="auto"/>
              <w:jc w:val="center"/>
              <w:rPr>
                <w:color w:val="002060"/>
                <w:sz w:val="18"/>
                <w:szCs w:val="18"/>
              </w:rPr>
            </w:pPr>
            <w:r w:rsidRPr="00AF4400">
              <w:rPr>
                <w:color w:val="002060"/>
                <w:sz w:val="18"/>
                <w:szCs w:val="18"/>
              </w:rPr>
              <w:t>93,80%</w:t>
            </w:r>
          </w:p>
        </w:tc>
        <w:tc>
          <w:tcPr>
            <w:tcW w:w="1785" w:type="dxa"/>
            <w:shd w:val="clear" w:color="auto" w:fill="D9D9D9" w:themeFill="background1" w:themeFillShade="D9"/>
          </w:tcPr>
          <w:p w14:paraId="3FDFE475" w14:textId="77777777" w:rsidR="00464642" w:rsidRPr="00AF4400" w:rsidRDefault="00416049">
            <w:pPr>
              <w:widowControl w:val="0"/>
              <w:spacing w:after="0" w:line="240" w:lineRule="auto"/>
              <w:jc w:val="center"/>
              <w:rPr>
                <w:color w:val="002060"/>
                <w:sz w:val="18"/>
                <w:szCs w:val="18"/>
              </w:rPr>
            </w:pPr>
            <w:r w:rsidRPr="00AF4400">
              <w:rPr>
                <w:color w:val="002060"/>
                <w:sz w:val="18"/>
                <w:szCs w:val="18"/>
              </w:rPr>
              <w:t>103,88%</w:t>
            </w:r>
          </w:p>
        </w:tc>
        <w:tc>
          <w:tcPr>
            <w:tcW w:w="5925" w:type="dxa"/>
            <w:shd w:val="clear" w:color="auto" w:fill="D9D9D9" w:themeFill="background1" w:themeFillShade="D9"/>
          </w:tcPr>
          <w:p w14:paraId="0B4C2F14" w14:textId="417DC110" w:rsidR="00464642" w:rsidRPr="00AF4400" w:rsidRDefault="00416049">
            <w:pPr>
              <w:widowControl w:val="0"/>
              <w:spacing w:after="0" w:line="240" w:lineRule="auto"/>
              <w:jc w:val="both"/>
              <w:rPr>
                <w:color w:val="002060"/>
                <w:sz w:val="18"/>
                <w:szCs w:val="18"/>
              </w:rPr>
            </w:pPr>
            <w:r w:rsidRPr="00AF4400">
              <w:rPr>
                <w:color w:val="002060"/>
                <w:sz w:val="18"/>
                <w:szCs w:val="18"/>
              </w:rPr>
              <w:t xml:space="preserve">Durante el PDD 2020-2024, se logró cumplir con la meta en un 103.88%. La Secretaría Distrital de Movilidad desarrolló las siguientes actividades: </w:t>
            </w:r>
            <w:proofErr w:type="gramStart"/>
            <w:r w:rsidRPr="00AF4400">
              <w:rPr>
                <w:color w:val="002060"/>
                <w:sz w:val="18"/>
                <w:szCs w:val="18"/>
              </w:rPr>
              <w:t>1.Se</w:t>
            </w:r>
            <w:proofErr w:type="gramEnd"/>
            <w:r w:rsidRPr="00AF4400">
              <w:rPr>
                <w:color w:val="002060"/>
                <w:sz w:val="18"/>
                <w:szCs w:val="18"/>
              </w:rPr>
              <w:t xml:space="preserve"> desarrollaron estrategias que promovieron la cultura ambiental y de gestión documental mediante la incorporación de buenas prácticas institucionales y garantizando la operación del gestor documental ORFEO, respondiendo dentro de los parámetros establecidos para los usuarios internos y externos de la </w:t>
            </w:r>
            <w:r w:rsidRPr="00AF4400">
              <w:rPr>
                <w:color w:val="002060"/>
                <w:sz w:val="18"/>
                <w:szCs w:val="18"/>
              </w:rPr>
              <w:lastRenderedPageBreak/>
              <w:t>entidad. Se obtuvo la certificación del Sistema de Gestión de Seguridad y Salud en el Trabajo según la norma ISO 45001:2018, la certificación ISO 27001 para el Sistema de Gestión de Seguridad de la Información, la certificación ISO 22301:2019 para el Sistema de Gestión de Continuidad del Negocio, y la recertificación del Sistema de Gestión EFR en el nivel de excelencia B+ por tres años. 2.En el transcurso del año 2024, se implementaron acciones para garantizar la recertificación del Sistema de Gestión Antisoborno, reforzando el compromiso ético de la Secretaría Distrital de Movilidad con la cero tolerancia frente a posibles actos de soborno. Esto contribuyó a debilitar la posibilidad de acciones irregulares en los procesos de la Secretaría y fomenta una política de integridad y transparencia, generando confianza tanto en el sector como en la ciudadanía. Asimismo, se trabajó en una herramienta para garantizar la debida diligencia en los procesos contractuales, conforme a la incorporación del Sistema de Administración de Riesgo de Lavado de Activos y de la Financiación del Terrorismo en la Secretaría. Una de las acciones más importantes durante el período fue la actualización del procedimiento para la formulación y seguimiento del programa de transparencia y ética pública y sus formatos vinculantes, de acuerdo con la normatividad nacional. 3.Se implementaron acciones encaminadas a la mejora de las políticas del Modelo Integrado de Planeación y Gestión (MIPG), las cuales fueron objeto de seguimiento mediante el Plan Marco para el Fortalecimiento del MIPG. Estas acciones, de forma articulada, garantizaron el cumplimiento de los lineamientos normativos y tuvieron un impacto positivo en la prestación de trámites y servicios, logrando la satisfacción de las partes interesadas de la Entidad. 4.Por último, desde las políticas que lideran los procesos de Mejora Normativa, Defensa Judicial y Compras y Contratación Pública, se trabajó en el mejoramiento continuo, logrando un desempeño eficiente en cada una de sus funciones y actividades relacionadas con aspectos legales, normativos, contractuales y de cobro coactivo establecidos en el Manual de Cobro Coactivo de la SDM. 5.Aunque se realizó el reporte del FURAG, los resultados serán divulgados por el Departamento Administrativo de la Función Pública en el mes de junio de 2024</w:t>
            </w:r>
          </w:p>
        </w:tc>
      </w:tr>
    </w:tbl>
    <w:p w14:paraId="73C41092" w14:textId="2401318A" w:rsidR="00464642" w:rsidRDefault="00464642"/>
    <w:p w14:paraId="2ED8F6C0" w14:textId="77777777" w:rsidR="00464642" w:rsidRDefault="00416049">
      <w:r>
        <w:lastRenderedPageBreak/>
        <w:t>2.2 PLAN DISTRITAL DE DESARROLLO BOGOTÁ CAMINA SEGURA</w:t>
      </w:r>
    </w:p>
    <w:tbl>
      <w:tblPr>
        <w:tblStyle w:val="afff1"/>
        <w:tblW w:w="13431"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tblBorders>
        <w:tblLayout w:type="fixed"/>
        <w:tblLook w:val="0600" w:firstRow="0" w:lastRow="0" w:firstColumn="0" w:lastColumn="0" w:noHBand="1" w:noVBand="1"/>
      </w:tblPr>
      <w:tblGrid>
        <w:gridCol w:w="13431"/>
      </w:tblGrid>
      <w:tr w:rsidR="00464642" w14:paraId="48DE203B" w14:textId="77777777" w:rsidTr="006025AD">
        <w:trPr>
          <w:trHeight w:val="420"/>
          <w:tblHeader/>
        </w:trPr>
        <w:tc>
          <w:tcPr>
            <w:tcW w:w="13431" w:type="dxa"/>
            <w:shd w:val="clear" w:color="auto" w:fill="2E74B5"/>
            <w:tcMar>
              <w:top w:w="100" w:type="dxa"/>
              <w:left w:w="100" w:type="dxa"/>
              <w:bottom w:w="100" w:type="dxa"/>
              <w:right w:w="100" w:type="dxa"/>
            </w:tcMar>
          </w:tcPr>
          <w:p w14:paraId="235B237E" w14:textId="5DBA7252" w:rsidR="00464642" w:rsidRDefault="00416049">
            <w:pPr>
              <w:widowControl w:val="0"/>
              <w:spacing w:before="40" w:after="0" w:line="240" w:lineRule="auto"/>
              <w:jc w:val="center"/>
              <w:rPr>
                <w:color w:val="FFFFFF"/>
                <w:sz w:val="20"/>
                <w:szCs w:val="20"/>
              </w:rPr>
            </w:pPr>
            <w:r>
              <w:rPr>
                <w:color w:val="FFFFFF"/>
              </w:rPr>
              <w:t xml:space="preserve">PROGRAMA 6: </w:t>
            </w:r>
            <w:r>
              <w:rPr>
                <w:color w:val="FFFFFF"/>
                <w:sz w:val="20"/>
                <w:szCs w:val="20"/>
              </w:rPr>
              <w:t xml:space="preserve">Bogotá avanza </w:t>
            </w:r>
            <w:proofErr w:type="gramStart"/>
            <w:r>
              <w:rPr>
                <w:color w:val="FFFFFF"/>
                <w:sz w:val="20"/>
                <w:szCs w:val="20"/>
              </w:rPr>
              <w:t>en  seguridad</w:t>
            </w:r>
            <w:proofErr w:type="gramEnd"/>
          </w:p>
          <w:p w14:paraId="7A6D5337" w14:textId="77777777" w:rsidR="00464642" w:rsidRDefault="00416049">
            <w:pPr>
              <w:widowControl w:val="0"/>
              <w:spacing w:after="0" w:line="240" w:lineRule="auto"/>
              <w:jc w:val="both"/>
              <w:rPr>
                <w:color w:val="FFFFFF"/>
                <w:sz w:val="20"/>
                <w:szCs w:val="20"/>
              </w:rPr>
            </w:pPr>
            <w:r>
              <w:rPr>
                <w:color w:val="FFFFFF"/>
                <w:sz w:val="20"/>
                <w:szCs w:val="20"/>
              </w:rPr>
              <w:t>7980. Implementación de intervenciones integrales de cultura, comunicación y pedagogía, para la movilidad segura en Bogotá D.C</w:t>
            </w:r>
          </w:p>
          <w:p w14:paraId="4F1E58E5" w14:textId="77777777" w:rsidR="00464642" w:rsidRDefault="00416049">
            <w:pPr>
              <w:widowControl w:val="0"/>
              <w:spacing w:after="0" w:line="240" w:lineRule="auto"/>
              <w:jc w:val="both"/>
              <w:rPr>
                <w:color w:val="FFFFFF"/>
                <w:sz w:val="20"/>
                <w:szCs w:val="20"/>
              </w:rPr>
            </w:pPr>
            <w:r>
              <w:rPr>
                <w:color w:val="FFFFFF"/>
                <w:sz w:val="20"/>
                <w:szCs w:val="20"/>
              </w:rPr>
              <w:t>7941. Fortalecimiento del componente de gobernanza para la implementación de la estrategia de seguridad vial en Bogotá D.C.</w:t>
            </w:r>
          </w:p>
          <w:p w14:paraId="5A452307" w14:textId="77777777" w:rsidR="00464642" w:rsidRDefault="00416049">
            <w:pPr>
              <w:widowControl w:val="0"/>
              <w:spacing w:after="0" w:line="240" w:lineRule="auto"/>
              <w:jc w:val="both"/>
              <w:rPr>
                <w:color w:val="FFFFFF"/>
                <w:sz w:val="20"/>
                <w:szCs w:val="20"/>
              </w:rPr>
            </w:pPr>
            <w:r>
              <w:rPr>
                <w:color w:val="FFFFFF"/>
                <w:sz w:val="20"/>
                <w:szCs w:val="20"/>
              </w:rPr>
              <w:t>7996. Fortalecimiento del programa niñas y niños primero para mejorar la seguridad vial y la confianza en el camino al colegio en Bogotá D.C.</w:t>
            </w:r>
          </w:p>
          <w:p w14:paraId="295DBB94" w14:textId="77777777" w:rsidR="00464642" w:rsidRDefault="00416049">
            <w:pPr>
              <w:widowControl w:val="0"/>
              <w:spacing w:after="0" w:line="240" w:lineRule="auto"/>
              <w:jc w:val="both"/>
              <w:rPr>
                <w:color w:val="FFFFFF"/>
                <w:sz w:val="20"/>
                <w:szCs w:val="20"/>
              </w:rPr>
            </w:pPr>
            <w:r>
              <w:rPr>
                <w:color w:val="FFFFFF"/>
                <w:sz w:val="20"/>
                <w:szCs w:val="20"/>
              </w:rPr>
              <w:t>8000. Fortalecimiento del sistema de señalización para la movilidad enfocada en la mejora de la seguridad vial en la ciudad de Bogotá D.C</w:t>
            </w:r>
          </w:p>
          <w:p w14:paraId="0BF1F629" w14:textId="77777777" w:rsidR="00464642" w:rsidRDefault="00416049">
            <w:pPr>
              <w:widowControl w:val="0"/>
              <w:spacing w:after="0" w:line="240" w:lineRule="auto"/>
              <w:jc w:val="both"/>
              <w:rPr>
                <w:color w:val="FFFFFF"/>
                <w:sz w:val="20"/>
                <w:szCs w:val="20"/>
              </w:rPr>
            </w:pPr>
            <w:r>
              <w:rPr>
                <w:color w:val="FFFFFF"/>
                <w:sz w:val="20"/>
                <w:szCs w:val="20"/>
              </w:rPr>
              <w:t>8001. Consolidación de las intervenciones en el espacio público para el mejoramiento de las condiciones de movilidad y seguridad vial en los corredores y puntos estratégicos en Bogotá D.C.</w:t>
            </w:r>
          </w:p>
          <w:p w14:paraId="5C7D2AC1" w14:textId="77777777" w:rsidR="00464642" w:rsidRDefault="00416049">
            <w:pPr>
              <w:widowControl w:val="0"/>
              <w:spacing w:after="0" w:line="240" w:lineRule="auto"/>
              <w:jc w:val="both"/>
              <w:rPr>
                <w:color w:val="FFFFFF"/>
                <w:sz w:val="20"/>
                <w:szCs w:val="20"/>
              </w:rPr>
            </w:pPr>
            <w:r>
              <w:rPr>
                <w:color w:val="FFFFFF"/>
                <w:sz w:val="20"/>
                <w:szCs w:val="20"/>
              </w:rPr>
              <w:t>8009. Fortalecimiento de las intervenciones de control y prevención del tránsito y el transporte para mejorar la seguridad vial en Bogotá D.C.</w:t>
            </w:r>
          </w:p>
        </w:tc>
      </w:tr>
    </w:tbl>
    <w:p w14:paraId="368F03B3" w14:textId="21A94E08" w:rsidR="00027F0D" w:rsidRDefault="00027F0D">
      <w:pPr>
        <w:widowControl w:val="0"/>
        <w:spacing w:before="40" w:after="0" w:line="240" w:lineRule="auto"/>
        <w:ind w:left="110"/>
        <w:rPr>
          <w:color w:val="FFFFFF"/>
        </w:rPr>
      </w:pPr>
    </w:p>
    <w:tbl>
      <w:tblPr>
        <w:tblStyle w:val="afff1"/>
        <w:tblW w:w="13431"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2565"/>
        <w:gridCol w:w="1500"/>
        <w:gridCol w:w="1245"/>
        <w:gridCol w:w="1530"/>
        <w:gridCol w:w="6591"/>
      </w:tblGrid>
      <w:tr w:rsidR="00464642" w14:paraId="3DCA7B60" w14:textId="77777777" w:rsidTr="006025AD">
        <w:trPr>
          <w:trHeight w:val="420"/>
          <w:tblHeader/>
        </w:trPr>
        <w:tc>
          <w:tcPr>
            <w:tcW w:w="2565" w:type="dxa"/>
            <w:shd w:val="clear" w:color="auto" w:fill="DBE5F1"/>
            <w:tcMar>
              <w:top w:w="100" w:type="dxa"/>
              <w:left w:w="100" w:type="dxa"/>
              <w:bottom w:w="100" w:type="dxa"/>
              <w:right w:w="100" w:type="dxa"/>
            </w:tcMar>
          </w:tcPr>
          <w:p w14:paraId="0C87436A" w14:textId="5BC7F1D1" w:rsidR="00464642" w:rsidRDefault="00416049">
            <w:pPr>
              <w:widowControl w:val="0"/>
              <w:spacing w:after="0" w:line="240" w:lineRule="auto"/>
              <w:jc w:val="center"/>
              <w:rPr>
                <w:b/>
              </w:rPr>
            </w:pPr>
            <w:r>
              <w:rPr>
                <w:b/>
              </w:rPr>
              <w:t>Meta</w:t>
            </w:r>
          </w:p>
        </w:tc>
        <w:tc>
          <w:tcPr>
            <w:tcW w:w="1500" w:type="dxa"/>
            <w:shd w:val="clear" w:color="auto" w:fill="DBE5F1"/>
            <w:tcMar>
              <w:top w:w="100" w:type="dxa"/>
              <w:left w:w="100" w:type="dxa"/>
              <w:bottom w:w="100" w:type="dxa"/>
              <w:right w:w="100" w:type="dxa"/>
            </w:tcMar>
          </w:tcPr>
          <w:p w14:paraId="3C31F407" w14:textId="77777777" w:rsidR="00464642" w:rsidRDefault="00416049">
            <w:pPr>
              <w:widowControl w:val="0"/>
              <w:spacing w:after="0" w:line="240" w:lineRule="auto"/>
              <w:jc w:val="center"/>
              <w:rPr>
                <w:b/>
              </w:rPr>
            </w:pPr>
            <w:r>
              <w:rPr>
                <w:b/>
              </w:rPr>
              <w:t>Magnitud</w:t>
            </w:r>
          </w:p>
          <w:p w14:paraId="636B850F" w14:textId="77777777" w:rsidR="00464642" w:rsidRDefault="00416049">
            <w:pPr>
              <w:widowControl w:val="0"/>
              <w:spacing w:after="0" w:line="240" w:lineRule="auto"/>
              <w:jc w:val="center"/>
              <w:rPr>
                <w:b/>
              </w:rPr>
            </w:pPr>
            <w:r>
              <w:rPr>
                <w:b/>
              </w:rPr>
              <w:t>Programada</w:t>
            </w:r>
          </w:p>
        </w:tc>
        <w:tc>
          <w:tcPr>
            <w:tcW w:w="1245" w:type="dxa"/>
            <w:shd w:val="clear" w:color="auto" w:fill="DBE5F1"/>
            <w:tcMar>
              <w:top w:w="100" w:type="dxa"/>
              <w:left w:w="100" w:type="dxa"/>
              <w:bottom w:w="100" w:type="dxa"/>
              <w:right w:w="100" w:type="dxa"/>
            </w:tcMar>
          </w:tcPr>
          <w:p w14:paraId="2EDC8C75" w14:textId="77777777" w:rsidR="00464642" w:rsidRDefault="00416049">
            <w:pPr>
              <w:widowControl w:val="0"/>
              <w:spacing w:after="0" w:line="240" w:lineRule="auto"/>
              <w:jc w:val="center"/>
              <w:rPr>
                <w:b/>
              </w:rPr>
            </w:pPr>
            <w:r>
              <w:rPr>
                <w:b/>
              </w:rPr>
              <w:t xml:space="preserve">Magnitud </w:t>
            </w:r>
          </w:p>
          <w:p w14:paraId="5E052F95" w14:textId="77777777" w:rsidR="00464642" w:rsidRDefault="00416049">
            <w:pPr>
              <w:widowControl w:val="0"/>
              <w:spacing w:after="0" w:line="240" w:lineRule="auto"/>
              <w:jc w:val="center"/>
              <w:rPr>
                <w:b/>
              </w:rPr>
            </w:pPr>
            <w:r>
              <w:rPr>
                <w:b/>
              </w:rPr>
              <w:t>Ejecutada</w:t>
            </w:r>
          </w:p>
        </w:tc>
        <w:tc>
          <w:tcPr>
            <w:tcW w:w="1530" w:type="dxa"/>
            <w:shd w:val="clear" w:color="auto" w:fill="DBE5F1"/>
            <w:tcMar>
              <w:top w:w="100" w:type="dxa"/>
              <w:left w:w="100" w:type="dxa"/>
              <w:bottom w:w="100" w:type="dxa"/>
              <w:right w:w="100" w:type="dxa"/>
            </w:tcMar>
          </w:tcPr>
          <w:p w14:paraId="07FF411F" w14:textId="77777777" w:rsidR="00464642" w:rsidRDefault="00416049">
            <w:pPr>
              <w:widowControl w:val="0"/>
              <w:spacing w:after="0" w:line="240" w:lineRule="auto"/>
              <w:jc w:val="center"/>
              <w:rPr>
                <w:b/>
              </w:rPr>
            </w:pPr>
            <w:r>
              <w:rPr>
                <w:b/>
              </w:rPr>
              <w:t>% de Cumplimiento</w:t>
            </w:r>
          </w:p>
        </w:tc>
        <w:tc>
          <w:tcPr>
            <w:tcW w:w="6591" w:type="dxa"/>
            <w:shd w:val="clear" w:color="auto" w:fill="DBE5F1"/>
            <w:tcMar>
              <w:top w:w="100" w:type="dxa"/>
              <w:left w:w="100" w:type="dxa"/>
              <w:bottom w:w="100" w:type="dxa"/>
              <w:right w:w="100" w:type="dxa"/>
            </w:tcMar>
          </w:tcPr>
          <w:p w14:paraId="6671FB81" w14:textId="77777777" w:rsidR="00464642" w:rsidRDefault="00416049">
            <w:pPr>
              <w:widowControl w:val="0"/>
              <w:spacing w:after="0" w:line="240" w:lineRule="auto"/>
              <w:jc w:val="center"/>
              <w:rPr>
                <w:b/>
              </w:rPr>
            </w:pPr>
            <w:r>
              <w:rPr>
                <w:b/>
              </w:rPr>
              <w:t>Logros, Avances y Dificultades</w:t>
            </w:r>
          </w:p>
        </w:tc>
      </w:tr>
      <w:tr w:rsidR="00464642" w14:paraId="0CB9F580" w14:textId="77777777" w:rsidTr="006025AD">
        <w:trPr>
          <w:trHeight w:val="420"/>
        </w:trPr>
        <w:tc>
          <w:tcPr>
            <w:tcW w:w="2565" w:type="dxa"/>
            <w:shd w:val="clear" w:color="auto" w:fill="DBE5F1"/>
            <w:tcMar>
              <w:top w:w="100" w:type="dxa"/>
              <w:left w:w="100" w:type="dxa"/>
              <w:bottom w:w="100" w:type="dxa"/>
              <w:right w:w="100" w:type="dxa"/>
            </w:tcMar>
          </w:tcPr>
          <w:p w14:paraId="1BEBE0DA" w14:textId="77777777" w:rsidR="00464642" w:rsidRDefault="00416049" w:rsidP="00675AB1">
            <w:pPr>
              <w:widowControl w:val="0"/>
              <w:spacing w:after="0" w:line="240" w:lineRule="auto"/>
              <w:jc w:val="both"/>
              <w:rPr>
                <w:sz w:val="18"/>
                <w:szCs w:val="18"/>
              </w:rPr>
            </w:pPr>
            <w:r>
              <w:rPr>
                <w:sz w:val="18"/>
                <w:szCs w:val="18"/>
              </w:rPr>
              <w:t>1976 - Diseñar, implementar y evaluar el 100% del plan sectorial de cultura ciudadana, comunicación y pedagogía cívica que propicien transformaciones voluntarias constructivas y corresponsables en el sistema de movilidad</w:t>
            </w:r>
          </w:p>
        </w:tc>
        <w:tc>
          <w:tcPr>
            <w:tcW w:w="1500" w:type="dxa"/>
            <w:shd w:val="clear" w:color="auto" w:fill="DBE5F1"/>
            <w:tcMar>
              <w:top w:w="100" w:type="dxa"/>
              <w:left w:w="100" w:type="dxa"/>
              <w:bottom w:w="100" w:type="dxa"/>
              <w:right w:w="100" w:type="dxa"/>
            </w:tcMar>
          </w:tcPr>
          <w:p w14:paraId="431DCFE8" w14:textId="77777777" w:rsidR="00464642" w:rsidRDefault="00416049" w:rsidP="00675AB1">
            <w:pPr>
              <w:widowControl w:val="0"/>
              <w:spacing w:after="0" w:line="240" w:lineRule="auto"/>
              <w:jc w:val="both"/>
              <w:rPr>
                <w:sz w:val="18"/>
                <w:szCs w:val="18"/>
              </w:rPr>
            </w:pPr>
            <w:r>
              <w:rPr>
                <w:sz w:val="18"/>
                <w:szCs w:val="18"/>
              </w:rPr>
              <w:t>10%</w:t>
            </w:r>
          </w:p>
        </w:tc>
        <w:tc>
          <w:tcPr>
            <w:tcW w:w="1245" w:type="dxa"/>
            <w:shd w:val="clear" w:color="auto" w:fill="DBE5F1"/>
            <w:tcMar>
              <w:top w:w="100" w:type="dxa"/>
              <w:left w:w="100" w:type="dxa"/>
              <w:bottom w:w="100" w:type="dxa"/>
              <w:right w:w="100" w:type="dxa"/>
            </w:tcMar>
          </w:tcPr>
          <w:p w14:paraId="69BDC069" w14:textId="77777777" w:rsidR="00464642" w:rsidRDefault="00416049" w:rsidP="00675AB1">
            <w:pPr>
              <w:widowControl w:val="0"/>
              <w:spacing w:after="0" w:line="240" w:lineRule="auto"/>
              <w:jc w:val="both"/>
              <w:rPr>
                <w:sz w:val="18"/>
                <w:szCs w:val="18"/>
              </w:rPr>
            </w:pPr>
            <w:r>
              <w:rPr>
                <w:sz w:val="18"/>
                <w:szCs w:val="18"/>
              </w:rPr>
              <w:t>10%</w:t>
            </w:r>
          </w:p>
        </w:tc>
        <w:tc>
          <w:tcPr>
            <w:tcW w:w="1530" w:type="dxa"/>
            <w:shd w:val="clear" w:color="auto" w:fill="DBE5F1"/>
            <w:tcMar>
              <w:top w:w="100" w:type="dxa"/>
              <w:left w:w="100" w:type="dxa"/>
              <w:bottom w:w="100" w:type="dxa"/>
              <w:right w:w="100" w:type="dxa"/>
            </w:tcMar>
          </w:tcPr>
          <w:p w14:paraId="2F8B60C6" w14:textId="77777777" w:rsidR="00464642" w:rsidRDefault="00416049" w:rsidP="00675AB1">
            <w:pPr>
              <w:widowControl w:val="0"/>
              <w:spacing w:after="0" w:line="240" w:lineRule="auto"/>
              <w:jc w:val="both"/>
              <w:rPr>
                <w:sz w:val="18"/>
                <w:szCs w:val="18"/>
              </w:rPr>
            </w:pPr>
            <w:r>
              <w:rPr>
                <w:sz w:val="18"/>
                <w:szCs w:val="18"/>
              </w:rPr>
              <w:t>100%</w:t>
            </w:r>
          </w:p>
        </w:tc>
        <w:tc>
          <w:tcPr>
            <w:tcW w:w="6591" w:type="dxa"/>
            <w:shd w:val="clear" w:color="auto" w:fill="DBE5F1"/>
            <w:tcMar>
              <w:top w:w="100" w:type="dxa"/>
              <w:left w:w="100" w:type="dxa"/>
              <w:bottom w:w="100" w:type="dxa"/>
              <w:right w:w="100" w:type="dxa"/>
            </w:tcMar>
          </w:tcPr>
          <w:p w14:paraId="110C6399" w14:textId="77777777" w:rsidR="00464642" w:rsidRDefault="00416049" w:rsidP="00675AB1">
            <w:pPr>
              <w:widowControl w:val="0"/>
              <w:spacing w:after="0" w:line="240" w:lineRule="auto"/>
              <w:jc w:val="both"/>
              <w:rPr>
                <w:sz w:val="18"/>
                <w:szCs w:val="18"/>
              </w:rPr>
            </w:pPr>
            <w:r>
              <w:rPr>
                <w:sz w:val="18"/>
                <w:szCs w:val="18"/>
              </w:rPr>
              <w:t xml:space="preserve">A lo largo de la vigencia del 2024, se </w:t>
            </w:r>
            <w:proofErr w:type="spellStart"/>
            <w:proofErr w:type="gramStart"/>
            <w:r>
              <w:rPr>
                <w:sz w:val="18"/>
                <w:szCs w:val="18"/>
              </w:rPr>
              <w:t>logro</w:t>
            </w:r>
            <w:proofErr w:type="spellEnd"/>
            <w:r>
              <w:rPr>
                <w:sz w:val="18"/>
                <w:szCs w:val="18"/>
              </w:rPr>
              <w:t xml:space="preserve">  llevar</w:t>
            </w:r>
            <w:proofErr w:type="gramEnd"/>
            <w:r>
              <w:rPr>
                <w:sz w:val="18"/>
                <w:szCs w:val="18"/>
              </w:rPr>
              <w:t xml:space="preserve"> a cabo las siguientes actividades:</w:t>
            </w:r>
          </w:p>
          <w:p w14:paraId="2355ABFE" w14:textId="77777777" w:rsidR="00464642" w:rsidRDefault="00464642" w:rsidP="00675AB1">
            <w:pPr>
              <w:widowControl w:val="0"/>
              <w:spacing w:after="0" w:line="240" w:lineRule="auto"/>
              <w:jc w:val="both"/>
              <w:rPr>
                <w:sz w:val="18"/>
                <w:szCs w:val="18"/>
              </w:rPr>
            </w:pPr>
          </w:p>
          <w:p w14:paraId="28B3E6B9" w14:textId="77777777" w:rsidR="00464642" w:rsidRDefault="00416049" w:rsidP="00675AB1">
            <w:pPr>
              <w:widowControl w:val="0"/>
              <w:spacing w:after="0" w:line="240" w:lineRule="auto"/>
              <w:jc w:val="both"/>
              <w:rPr>
                <w:sz w:val="18"/>
                <w:szCs w:val="18"/>
              </w:rPr>
            </w:pPr>
            <w:r>
              <w:rPr>
                <w:sz w:val="18"/>
                <w:szCs w:val="18"/>
              </w:rPr>
              <w:t>En cuanto al diseño, se inició con el estado del arte y la conceptualización de la "pedagogía cívica" en el contexto de la cultura para la movilidad. Se alineó este enfoque con el Plan de Desarrollo Distrital 2024-2027, actualizando el portafolio de acciones pedagógicas. Además, se avanzó en la conceptualización y en la creación de las bases para el plan sectorial.</w:t>
            </w:r>
          </w:p>
          <w:p w14:paraId="18A70A92" w14:textId="77777777" w:rsidR="00464642" w:rsidRDefault="00464642" w:rsidP="00675AB1">
            <w:pPr>
              <w:widowControl w:val="0"/>
              <w:spacing w:after="0" w:line="240" w:lineRule="auto"/>
              <w:jc w:val="both"/>
              <w:rPr>
                <w:sz w:val="18"/>
                <w:szCs w:val="18"/>
              </w:rPr>
            </w:pPr>
          </w:p>
          <w:p w14:paraId="5B4D41D4" w14:textId="77777777" w:rsidR="00464642" w:rsidRDefault="00416049" w:rsidP="00675AB1">
            <w:pPr>
              <w:widowControl w:val="0"/>
              <w:spacing w:after="0" w:line="240" w:lineRule="auto"/>
              <w:jc w:val="both"/>
              <w:rPr>
                <w:sz w:val="18"/>
                <w:szCs w:val="18"/>
              </w:rPr>
            </w:pPr>
            <w:r>
              <w:rPr>
                <w:sz w:val="18"/>
                <w:szCs w:val="18"/>
              </w:rPr>
              <w:t>Por otro lado, se estructuró un convenio intersectorial orientado al diseño de un plan de cultura para la movilidad, cuyo objetivo es promover una movilidad segura, sostenible, eficiente e inclusiva. Como parte de las tareas del Plan Sectorial, se diseñaron herramientas para identificar las problemáticas de comportamiento que afectan la movilidad, con el fin de fortalecer estrategias en este ámbito. También se desarrollaron herramientas para la formulación, implementación, seguimiento y evaluación de políticas públicas, planes, programas y proyectos estratégicos que promuevan la cultura ciudadana en temas de movilidad.</w:t>
            </w:r>
          </w:p>
          <w:p w14:paraId="3DE34419" w14:textId="77777777" w:rsidR="00464642" w:rsidRDefault="00464642" w:rsidP="00675AB1">
            <w:pPr>
              <w:widowControl w:val="0"/>
              <w:spacing w:after="0" w:line="240" w:lineRule="auto"/>
              <w:jc w:val="both"/>
              <w:rPr>
                <w:sz w:val="18"/>
                <w:szCs w:val="18"/>
              </w:rPr>
            </w:pPr>
          </w:p>
          <w:p w14:paraId="52B84401" w14:textId="77777777" w:rsidR="00464642" w:rsidRDefault="00416049" w:rsidP="00675AB1">
            <w:pPr>
              <w:widowControl w:val="0"/>
              <w:spacing w:after="0" w:line="240" w:lineRule="auto"/>
              <w:jc w:val="both"/>
              <w:rPr>
                <w:sz w:val="18"/>
                <w:szCs w:val="18"/>
              </w:rPr>
            </w:pPr>
            <w:r>
              <w:rPr>
                <w:sz w:val="18"/>
                <w:szCs w:val="18"/>
              </w:rPr>
              <w:lastRenderedPageBreak/>
              <w:t>Se llevaron a cabo tres mesas técnicas organizadas por la SDM, donde se definieron las necesidades y objetivos del Plan Sectorial de Cultura Ciudadana y Pedagogía Cívica. Además, se realizó una reunión con la Secretaría de Cultura para presentar la propuesta de convenio para la estructuración del plan sectorial. Finalmente, se avanzó en la elaboración del documento diagnóstico que aborda las problemáticas y necesidades identificadas para la construcción del plan sectorial de Cultura Ciudadana y Pedagogía Cívica.</w:t>
            </w:r>
          </w:p>
          <w:p w14:paraId="0215BACD" w14:textId="77777777" w:rsidR="00464642" w:rsidRDefault="00464642" w:rsidP="00675AB1">
            <w:pPr>
              <w:widowControl w:val="0"/>
              <w:spacing w:after="0" w:line="240" w:lineRule="auto"/>
              <w:jc w:val="both"/>
              <w:rPr>
                <w:sz w:val="18"/>
                <w:szCs w:val="18"/>
              </w:rPr>
            </w:pPr>
          </w:p>
          <w:p w14:paraId="16ABF52F" w14:textId="77777777" w:rsidR="00464642" w:rsidRDefault="00416049" w:rsidP="00675AB1">
            <w:pPr>
              <w:widowControl w:val="0"/>
              <w:spacing w:after="0" w:line="240" w:lineRule="auto"/>
              <w:jc w:val="both"/>
              <w:rPr>
                <w:sz w:val="18"/>
                <w:szCs w:val="18"/>
              </w:rPr>
            </w:pPr>
            <w:r>
              <w:rPr>
                <w:b/>
                <w:sz w:val="18"/>
                <w:szCs w:val="18"/>
              </w:rPr>
              <w:t>Impacto y/o Beneficios:</w:t>
            </w:r>
            <w:r>
              <w:rPr>
                <w:sz w:val="18"/>
                <w:szCs w:val="18"/>
              </w:rPr>
              <w:t xml:space="preserve"> Las acciones implementadas fomentaron una cultura de movilidad responsable y segura, facilitando la detección de riesgos en los desplazamientos y promoviendo comportamientos que protegen la vida y el bienestar de los ciudadanos de Bogotá.</w:t>
            </w:r>
          </w:p>
          <w:p w14:paraId="5DE9D415" w14:textId="77777777" w:rsidR="00464642" w:rsidRDefault="00464642" w:rsidP="00675AB1">
            <w:pPr>
              <w:widowControl w:val="0"/>
              <w:spacing w:after="0" w:line="240" w:lineRule="auto"/>
              <w:jc w:val="both"/>
              <w:rPr>
                <w:sz w:val="18"/>
                <w:szCs w:val="18"/>
              </w:rPr>
            </w:pPr>
          </w:p>
          <w:p w14:paraId="6E7A0976" w14:textId="77777777" w:rsidR="00464642" w:rsidRDefault="00416049" w:rsidP="00675AB1">
            <w:pPr>
              <w:widowControl w:val="0"/>
              <w:spacing w:after="0" w:line="240" w:lineRule="auto"/>
              <w:jc w:val="both"/>
              <w:rPr>
                <w:sz w:val="18"/>
                <w:szCs w:val="18"/>
              </w:rPr>
            </w:pPr>
            <w:r>
              <w:rPr>
                <w:sz w:val="18"/>
                <w:szCs w:val="18"/>
              </w:rPr>
              <w:t>En empresas, entidades e instituciones educativas, 1,323 personas inicialmente apoyaron la importancia de diseñar espacios públicos seguros. Tras las intervenciones pedagógicas, 351 personas adicionales expresaron su acuerdo. Además, en las 17 localidades intervenidas, se logró una reducción del 18% en la invasión de vehículos en andenes.</w:t>
            </w:r>
          </w:p>
          <w:p w14:paraId="5AC9D9EB" w14:textId="77777777" w:rsidR="00464642" w:rsidRDefault="00464642" w:rsidP="00675AB1">
            <w:pPr>
              <w:widowControl w:val="0"/>
              <w:spacing w:after="0" w:line="240" w:lineRule="auto"/>
              <w:jc w:val="both"/>
              <w:rPr>
                <w:sz w:val="18"/>
                <w:szCs w:val="18"/>
              </w:rPr>
            </w:pPr>
          </w:p>
        </w:tc>
      </w:tr>
      <w:tr w:rsidR="00464642" w14:paraId="1E1F20B2" w14:textId="77777777" w:rsidTr="006025AD">
        <w:trPr>
          <w:trHeight w:val="420"/>
        </w:trPr>
        <w:tc>
          <w:tcPr>
            <w:tcW w:w="2565" w:type="dxa"/>
            <w:shd w:val="clear" w:color="auto" w:fill="EBF1DD"/>
            <w:tcMar>
              <w:top w:w="100" w:type="dxa"/>
              <w:left w:w="100" w:type="dxa"/>
              <w:bottom w:w="100" w:type="dxa"/>
              <w:right w:w="100" w:type="dxa"/>
            </w:tcMar>
          </w:tcPr>
          <w:p w14:paraId="550BDCE8" w14:textId="77777777" w:rsidR="00464642" w:rsidRDefault="00416049">
            <w:pPr>
              <w:widowControl w:val="0"/>
              <w:spacing w:after="0" w:line="240" w:lineRule="auto"/>
              <w:jc w:val="both"/>
            </w:pPr>
            <w:r>
              <w:rPr>
                <w:sz w:val="20"/>
                <w:szCs w:val="20"/>
              </w:rPr>
              <w:lastRenderedPageBreak/>
              <w:t>1984. Realizar un (1) estudio técnico en corredores principales, para evaluar los límites de velocidad en la ciudad</w:t>
            </w:r>
          </w:p>
        </w:tc>
        <w:tc>
          <w:tcPr>
            <w:tcW w:w="1500" w:type="dxa"/>
            <w:shd w:val="clear" w:color="auto" w:fill="EBF1DD"/>
            <w:tcMar>
              <w:top w:w="100" w:type="dxa"/>
              <w:left w:w="100" w:type="dxa"/>
              <w:bottom w:w="100" w:type="dxa"/>
              <w:right w:w="100" w:type="dxa"/>
            </w:tcMar>
          </w:tcPr>
          <w:p w14:paraId="43268CF8" w14:textId="77777777" w:rsidR="00464642" w:rsidRDefault="00416049">
            <w:pPr>
              <w:widowControl w:val="0"/>
              <w:spacing w:after="0" w:line="240" w:lineRule="auto"/>
              <w:jc w:val="center"/>
              <w:rPr>
                <w:sz w:val="18"/>
                <w:szCs w:val="18"/>
              </w:rPr>
            </w:pPr>
            <w:r>
              <w:rPr>
                <w:sz w:val="18"/>
                <w:szCs w:val="18"/>
              </w:rPr>
              <w:t>0.1</w:t>
            </w:r>
          </w:p>
        </w:tc>
        <w:tc>
          <w:tcPr>
            <w:tcW w:w="1245" w:type="dxa"/>
            <w:shd w:val="clear" w:color="auto" w:fill="EBF1DD"/>
            <w:tcMar>
              <w:top w:w="100" w:type="dxa"/>
              <w:left w:w="100" w:type="dxa"/>
              <w:bottom w:w="100" w:type="dxa"/>
              <w:right w:w="100" w:type="dxa"/>
            </w:tcMar>
          </w:tcPr>
          <w:p w14:paraId="38FAD405" w14:textId="77777777" w:rsidR="00464642" w:rsidRDefault="00416049">
            <w:pPr>
              <w:widowControl w:val="0"/>
              <w:spacing w:after="0" w:line="240" w:lineRule="auto"/>
              <w:jc w:val="center"/>
              <w:rPr>
                <w:sz w:val="18"/>
                <w:szCs w:val="18"/>
              </w:rPr>
            </w:pPr>
            <w:r>
              <w:rPr>
                <w:sz w:val="18"/>
                <w:szCs w:val="18"/>
              </w:rPr>
              <w:t>0.1</w:t>
            </w:r>
          </w:p>
        </w:tc>
        <w:tc>
          <w:tcPr>
            <w:tcW w:w="1530" w:type="dxa"/>
            <w:shd w:val="clear" w:color="auto" w:fill="EBF1DD"/>
            <w:tcMar>
              <w:top w:w="100" w:type="dxa"/>
              <w:left w:w="100" w:type="dxa"/>
              <w:bottom w:w="100" w:type="dxa"/>
              <w:right w:w="100" w:type="dxa"/>
            </w:tcMar>
          </w:tcPr>
          <w:p w14:paraId="09A49A10" w14:textId="77777777" w:rsidR="00464642" w:rsidRDefault="00416049">
            <w:pPr>
              <w:widowControl w:val="0"/>
              <w:spacing w:after="0" w:line="240" w:lineRule="auto"/>
              <w:jc w:val="center"/>
              <w:rPr>
                <w:sz w:val="18"/>
                <w:szCs w:val="18"/>
              </w:rPr>
            </w:pPr>
            <w:r>
              <w:rPr>
                <w:sz w:val="18"/>
                <w:szCs w:val="18"/>
              </w:rPr>
              <w:t>100%</w:t>
            </w:r>
          </w:p>
        </w:tc>
        <w:tc>
          <w:tcPr>
            <w:tcW w:w="6591" w:type="dxa"/>
            <w:shd w:val="clear" w:color="auto" w:fill="EBF1DD"/>
            <w:tcMar>
              <w:top w:w="100" w:type="dxa"/>
              <w:left w:w="100" w:type="dxa"/>
              <w:bottom w:w="100" w:type="dxa"/>
              <w:right w:w="100" w:type="dxa"/>
            </w:tcMar>
          </w:tcPr>
          <w:p w14:paraId="0AB70DEA" w14:textId="77777777" w:rsidR="00464642" w:rsidRDefault="00416049">
            <w:pPr>
              <w:widowControl w:val="0"/>
              <w:spacing w:after="0" w:line="240" w:lineRule="auto"/>
              <w:jc w:val="both"/>
              <w:rPr>
                <w:sz w:val="18"/>
                <w:szCs w:val="18"/>
              </w:rPr>
            </w:pPr>
            <w:r>
              <w:rPr>
                <w:sz w:val="18"/>
                <w:szCs w:val="18"/>
              </w:rPr>
              <w:t>El exceso de velocidad es el principal factor de riesgo en las vías y una variable de alto impacto en la ocurrencia y en el aumento de la gravedad de un siniestro vial (siniestro con heridos o muertos). La Secretaría Distrital de Movilidad desarrolla el estudio técnico que, de manera objetiva, sustentado técnicamente y dando cumplimiento a la regulación vigente, permitirá evaluar y establecer, según las características físicas y del contexto urbano de los corredores, cuáles son los límites de velocidad máximos y seguros para los corredores viales arteriales. Con el desarrollo del estudio la ciudad pretende:</w:t>
            </w:r>
          </w:p>
          <w:p w14:paraId="2B9D8308" w14:textId="77777777" w:rsidR="00464642" w:rsidRDefault="00416049">
            <w:pPr>
              <w:widowControl w:val="0"/>
              <w:spacing w:after="0" w:line="240" w:lineRule="auto"/>
              <w:jc w:val="both"/>
              <w:rPr>
                <w:sz w:val="18"/>
                <w:szCs w:val="18"/>
              </w:rPr>
            </w:pPr>
            <w:r>
              <w:rPr>
                <w:sz w:val="18"/>
                <w:szCs w:val="18"/>
              </w:rPr>
              <w:t>•Seguir trabajando en la reducción de los siniestros viales por el factor de riesgo exceso de velocidad y en la reducción de la siniestralidad vial en general</w:t>
            </w:r>
          </w:p>
          <w:p w14:paraId="54B88626" w14:textId="77777777" w:rsidR="00464642" w:rsidRDefault="00416049">
            <w:pPr>
              <w:widowControl w:val="0"/>
              <w:spacing w:after="0" w:line="240" w:lineRule="auto"/>
              <w:jc w:val="both"/>
              <w:rPr>
                <w:sz w:val="18"/>
                <w:szCs w:val="18"/>
              </w:rPr>
            </w:pPr>
            <w:r>
              <w:rPr>
                <w:sz w:val="18"/>
                <w:szCs w:val="18"/>
              </w:rPr>
              <w:t>•Tener una base sólida para la definición de las políticas de gestión de velocidad</w:t>
            </w:r>
          </w:p>
          <w:p w14:paraId="45FF3B24" w14:textId="77777777" w:rsidR="00464642" w:rsidRDefault="00416049">
            <w:pPr>
              <w:widowControl w:val="0"/>
              <w:spacing w:after="0" w:line="240" w:lineRule="auto"/>
              <w:jc w:val="both"/>
              <w:rPr>
                <w:sz w:val="18"/>
                <w:szCs w:val="18"/>
              </w:rPr>
            </w:pPr>
            <w:r>
              <w:rPr>
                <w:sz w:val="18"/>
                <w:szCs w:val="18"/>
              </w:rPr>
              <w:lastRenderedPageBreak/>
              <w:t xml:space="preserve">•Proteger a los usuarios más vulnerables, y </w:t>
            </w:r>
          </w:p>
          <w:p w14:paraId="6B8CBE06" w14:textId="77777777" w:rsidR="00464642" w:rsidRDefault="00416049">
            <w:pPr>
              <w:widowControl w:val="0"/>
              <w:spacing w:after="0" w:line="240" w:lineRule="auto"/>
              <w:jc w:val="both"/>
              <w:rPr>
                <w:sz w:val="18"/>
                <w:szCs w:val="18"/>
              </w:rPr>
            </w:pPr>
            <w:r>
              <w:rPr>
                <w:sz w:val="18"/>
                <w:szCs w:val="18"/>
              </w:rPr>
              <w:t>•Mejorar la fluidez del tránsito vehicular</w:t>
            </w:r>
          </w:p>
          <w:p w14:paraId="5AF6E5FF" w14:textId="66B86D21" w:rsidR="00464642" w:rsidRDefault="00416049">
            <w:pPr>
              <w:widowControl w:val="0"/>
              <w:spacing w:after="0" w:line="240" w:lineRule="auto"/>
              <w:jc w:val="both"/>
              <w:rPr>
                <w:sz w:val="18"/>
                <w:szCs w:val="18"/>
              </w:rPr>
            </w:pPr>
            <w:r>
              <w:rPr>
                <w:sz w:val="18"/>
                <w:szCs w:val="18"/>
              </w:rPr>
              <w:t xml:space="preserve">Para la realización del estudio se utilizó la </w:t>
            </w:r>
            <w:proofErr w:type="gramStart"/>
            <w:r>
              <w:rPr>
                <w:sz w:val="18"/>
                <w:szCs w:val="18"/>
              </w:rPr>
              <w:t>“ metodología</w:t>
            </w:r>
            <w:proofErr w:type="gramEnd"/>
            <w:r>
              <w:rPr>
                <w:sz w:val="18"/>
                <w:szCs w:val="18"/>
              </w:rPr>
              <w:t xml:space="preserve"> para la definición de límites de velocidad de la Agencia Nacional de Seguridad Vial (ANSV)”, adoptada por la Resolución 20233040025995 de 2023 del Ministerio de Transporte. La metodología se aplicó en los 14 corredores principales de Bogotá (corredores priorizados de la malla arterial de la ciudad) los cuales son:</w:t>
            </w:r>
            <w:r w:rsidR="007B1C78">
              <w:rPr>
                <w:sz w:val="18"/>
                <w:szCs w:val="18"/>
              </w:rPr>
              <w:t xml:space="preserve"> </w:t>
            </w:r>
            <w:r>
              <w:rPr>
                <w:sz w:val="18"/>
                <w:szCs w:val="18"/>
              </w:rPr>
              <w:t>Autopista Norte</w:t>
            </w:r>
            <w:r w:rsidR="007B1C78">
              <w:rPr>
                <w:sz w:val="18"/>
                <w:szCs w:val="18"/>
              </w:rPr>
              <w:t xml:space="preserve">, </w:t>
            </w:r>
            <w:r>
              <w:rPr>
                <w:sz w:val="18"/>
                <w:szCs w:val="18"/>
              </w:rPr>
              <w:t>Avenida Calle 26</w:t>
            </w:r>
            <w:r w:rsidR="007B1C78">
              <w:rPr>
                <w:sz w:val="18"/>
                <w:szCs w:val="18"/>
              </w:rPr>
              <w:t xml:space="preserve">, </w:t>
            </w:r>
            <w:r>
              <w:rPr>
                <w:sz w:val="18"/>
                <w:szCs w:val="18"/>
              </w:rPr>
              <w:t>Avenida Américas</w:t>
            </w:r>
            <w:r w:rsidR="007B1C78">
              <w:rPr>
                <w:sz w:val="18"/>
                <w:szCs w:val="18"/>
              </w:rPr>
              <w:t xml:space="preserve">, </w:t>
            </w:r>
            <w:r>
              <w:rPr>
                <w:sz w:val="18"/>
                <w:szCs w:val="18"/>
              </w:rPr>
              <w:t>Avenida NQS (Autopista Sur y Carrera 9)</w:t>
            </w:r>
            <w:r w:rsidR="007B1C78">
              <w:rPr>
                <w:sz w:val="18"/>
                <w:szCs w:val="18"/>
              </w:rPr>
              <w:t xml:space="preserve">, </w:t>
            </w:r>
            <w:r>
              <w:rPr>
                <w:sz w:val="18"/>
                <w:szCs w:val="18"/>
              </w:rPr>
              <w:t>Avenida Boyacá</w:t>
            </w:r>
            <w:r w:rsidR="007B1C78">
              <w:rPr>
                <w:sz w:val="18"/>
                <w:szCs w:val="18"/>
              </w:rPr>
              <w:t xml:space="preserve">, </w:t>
            </w:r>
            <w:r>
              <w:rPr>
                <w:sz w:val="18"/>
                <w:szCs w:val="18"/>
              </w:rPr>
              <w:t xml:space="preserve">Avenida Ciudad de </w:t>
            </w:r>
            <w:proofErr w:type="gramStart"/>
            <w:r>
              <w:rPr>
                <w:sz w:val="18"/>
                <w:szCs w:val="18"/>
              </w:rPr>
              <w:t xml:space="preserve">Cali </w:t>
            </w:r>
            <w:r w:rsidR="007B1C78">
              <w:rPr>
                <w:sz w:val="18"/>
                <w:szCs w:val="18"/>
              </w:rPr>
              <w:t>,</w:t>
            </w:r>
            <w:proofErr w:type="gramEnd"/>
            <w:r w:rsidR="007B1C78">
              <w:rPr>
                <w:sz w:val="18"/>
                <w:szCs w:val="18"/>
              </w:rPr>
              <w:t xml:space="preserve"> </w:t>
            </w:r>
            <w:r>
              <w:rPr>
                <w:sz w:val="18"/>
                <w:szCs w:val="18"/>
              </w:rPr>
              <w:t xml:space="preserve">Avenida Centenario </w:t>
            </w:r>
            <w:r w:rsidR="007B1C78">
              <w:rPr>
                <w:sz w:val="18"/>
                <w:szCs w:val="18"/>
              </w:rPr>
              <w:t xml:space="preserve">, </w:t>
            </w:r>
            <w:r>
              <w:rPr>
                <w:sz w:val="18"/>
                <w:szCs w:val="18"/>
              </w:rPr>
              <w:t>Avenida Carrera 68</w:t>
            </w:r>
            <w:r w:rsidR="007B1C78">
              <w:rPr>
                <w:sz w:val="18"/>
                <w:szCs w:val="18"/>
              </w:rPr>
              <w:t xml:space="preserve">, </w:t>
            </w:r>
            <w:r>
              <w:rPr>
                <w:sz w:val="18"/>
                <w:szCs w:val="18"/>
              </w:rPr>
              <w:t>Avenida Calle 80</w:t>
            </w:r>
            <w:r w:rsidR="007B1C78">
              <w:rPr>
                <w:sz w:val="18"/>
                <w:szCs w:val="18"/>
              </w:rPr>
              <w:t xml:space="preserve">, </w:t>
            </w:r>
            <w:r>
              <w:rPr>
                <w:sz w:val="18"/>
                <w:szCs w:val="18"/>
              </w:rPr>
              <w:t>Avenida Primero Calle de Mayo</w:t>
            </w:r>
            <w:r w:rsidR="007B1C78">
              <w:rPr>
                <w:sz w:val="18"/>
                <w:szCs w:val="18"/>
              </w:rPr>
              <w:t xml:space="preserve">, </w:t>
            </w:r>
            <w:r>
              <w:rPr>
                <w:sz w:val="18"/>
                <w:szCs w:val="18"/>
              </w:rPr>
              <w:t>Avenida Caracas</w:t>
            </w:r>
            <w:r w:rsidR="007B1C78">
              <w:rPr>
                <w:sz w:val="18"/>
                <w:szCs w:val="18"/>
              </w:rPr>
              <w:t xml:space="preserve">, </w:t>
            </w:r>
            <w:r>
              <w:rPr>
                <w:sz w:val="18"/>
                <w:szCs w:val="18"/>
              </w:rPr>
              <w:t xml:space="preserve">Avenida Carrera Décima </w:t>
            </w:r>
            <w:r w:rsidR="007B1C78">
              <w:rPr>
                <w:sz w:val="18"/>
                <w:szCs w:val="18"/>
              </w:rPr>
              <w:t xml:space="preserve">, </w:t>
            </w:r>
            <w:r>
              <w:rPr>
                <w:sz w:val="18"/>
                <w:szCs w:val="18"/>
              </w:rPr>
              <w:t xml:space="preserve">Avenida Carrera Séptima </w:t>
            </w:r>
            <w:r w:rsidR="007B1C78">
              <w:rPr>
                <w:sz w:val="18"/>
                <w:szCs w:val="18"/>
              </w:rPr>
              <w:t xml:space="preserve">, </w:t>
            </w:r>
            <w:r>
              <w:rPr>
                <w:sz w:val="18"/>
                <w:szCs w:val="18"/>
              </w:rPr>
              <w:t>Avenida Suba</w:t>
            </w:r>
          </w:p>
          <w:p w14:paraId="4CE23BDB" w14:textId="77777777" w:rsidR="00464642" w:rsidRDefault="00416049">
            <w:pPr>
              <w:widowControl w:val="0"/>
              <w:spacing w:after="0" w:line="240" w:lineRule="auto"/>
              <w:jc w:val="both"/>
              <w:rPr>
                <w:sz w:val="18"/>
                <w:szCs w:val="18"/>
              </w:rPr>
            </w:pPr>
            <w:r>
              <w:rPr>
                <w:sz w:val="18"/>
                <w:szCs w:val="18"/>
              </w:rPr>
              <w:t>En el año 2024, se logró obtener el desarrollo de un Documento Técnico de Soporte que compila los resultados del estudio de límites de velocidad en estos corredores. El documento, integra la cartografía y resultados de los análisis realizados para cada corredor.</w:t>
            </w:r>
          </w:p>
        </w:tc>
      </w:tr>
      <w:tr w:rsidR="007B1C78" w14:paraId="356A3AC6" w14:textId="77777777" w:rsidTr="006025AD">
        <w:trPr>
          <w:trHeight w:val="420"/>
        </w:trPr>
        <w:tc>
          <w:tcPr>
            <w:tcW w:w="2565" w:type="dxa"/>
            <w:shd w:val="clear" w:color="auto" w:fill="DBE5F1"/>
            <w:tcMar>
              <w:top w:w="100" w:type="dxa"/>
              <w:left w:w="100" w:type="dxa"/>
              <w:bottom w:w="100" w:type="dxa"/>
              <w:right w:w="100" w:type="dxa"/>
            </w:tcMar>
          </w:tcPr>
          <w:p w14:paraId="64FB044E" w14:textId="465A1E06" w:rsidR="007B1C78" w:rsidRDefault="007B1C78" w:rsidP="007B1C78">
            <w:pPr>
              <w:widowControl w:val="0"/>
              <w:spacing w:after="0" w:line="240" w:lineRule="auto"/>
              <w:jc w:val="both"/>
              <w:rPr>
                <w:sz w:val="20"/>
                <w:szCs w:val="20"/>
              </w:rPr>
            </w:pPr>
            <w:r w:rsidRPr="00D938AD">
              <w:rPr>
                <w:sz w:val="18"/>
                <w:szCs w:val="18"/>
              </w:rPr>
              <w:lastRenderedPageBreak/>
              <w:t>1973. Alcanzar 480.000 estudiantes beneficiadas y beneficiados en el programa de Niñas y Niños Primero – NNP, incluyendo acciones orientadas a mejorar las condiciones de movilidad de las rutas escolares</w:t>
            </w:r>
          </w:p>
        </w:tc>
        <w:tc>
          <w:tcPr>
            <w:tcW w:w="1500" w:type="dxa"/>
            <w:shd w:val="clear" w:color="auto" w:fill="DBE5F1"/>
            <w:tcMar>
              <w:top w:w="100" w:type="dxa"/>
              <w:left w:w="100" w:type="dxa"/>
              <w:bottom w:w="100" w:type="dxa"/>
              <w:right w:w="100" w:type="dxa"/>
            </w:tcMar>
          </w:tcPr>
          <w:p w14:paraId="0CE11256" w14:textId="0A3EB648" w:rsidR="007B1C78" w:rsidRDefault="007B1C78" w:rsidP="007B1C78">
            <w:pPr>
              <w:widowControl w:val="0"/>
              <w:spacing w:after="0" w:line="240" w:lineRule="auto"/>
              <w:jc w:val="center"/>
              <w:rPr>
                <w:sz w:val="18"/>
                <w:szCs w:val="18"/>
              </w:rPr>
            </w:pPr>
            <w:r w:rsidRPr="00D938AD">
              <w:rPr>
                <w:sz w:val="18"/>
                <w:szCs w:val="18"/>
              </w:rPr>
              <w:t>68.128</w:t>
            </w:r>
          </w:p>
        </w:tc>
        <w:tc>
          <w:tcPr>
            <w:tcW w:w="1245" w:type="dxa"/>
            <w:shd w:val="clear" w:color="auto" w:fill="DBE5F1"/>
            <w:tcMar>
              <w:top w:w="100" w:type="dxa"/>
              <w:left w:w="100" w:type="dxa"/>
              <w:bottom w:w="100" w:type="dxa"/>
              <w:right w:w="100" w:type="dxa"/>
            </w:tcMar>
          </w:tcPr>
          <w:p w14:paraId="3189133B" w14:textId="22E3A36D" w:rsidR="007B1C78" w:rsidRDefault="007B1C78" w:rsidP="007B1C78">
            <w:pPr>
              <w:widowControl w:val="0"/>
              <w:spacing w:after="0" w:line="240" w:lineRule="auto"/>
              <w:jc w:val="center"/>
              <w:rPr>
                <w:sz w:val="18"/>
                <w:szCs w:val="18"/>
              </w:rPr>
            </w:pPr>
            <w:r w:rsidRPr="00D938AD">
              <w:rPr>
                <w:sz w:val="18"/>
                <w:szCs w:val="18"/>
              </w:rPr>
              <w:t>68.128</w:t>
            </w:r>
          </w:p>
        </w:tc>
        <w:tc>
          <w:tcPr>
            <w:tcW w:w="1530" w:type="dxa"/>
            <w:shd w:val="clear" w:color="auto" w:fill="DBE5F1"/>
            <w:tcMar>
              <w:top w:w="100" w:type="dxa"/>
              <w:left w:w="100" w:type="dxa"/>
              <w:bottom w:w="100" w:type="dxa"/>
              <w:right w:w="100" w:type="dxa"/>
            </w:tcMar>
          </w:tcPr>
          <w:p w14:paraId="72B39BCB" w14:textId="12015A14"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DBE5F1"/>
            <w:tcMar>
              <w:top w:w="100" w:type="dxa"/>
              <w:left w:w="100" w:type="dxa"/>
              <w:bottom w:w="100" w:type="dxa"/>
              <w:right w:w="100" w:type="dxa"/>
            </w:tcMar>
          </w:tcPr>
          <w:p w14:paraId="58E95DB2" w14:textId="77777777" w:rsidR="007B1C78" w:rsidRPr="00D938AD" w:rsidRDefault="007B1C78" w:rsidP="007B1C78">
            <w:pPr>
              <w:widowControl w:val="0"/>
              <w:spacing w:after="0" w:line="240" w:lineRule="auto"/>
              <w:jc w:val="both"/>
              <w:rPr>
                <w:sz w:val="18"/>
                <w:szCs w:val="18"/>
              </w:rPr>
            </w:pPr>
            <w:r w:rsidRPr="00D938AD">
              <w:rPr>
                <w:sz w:val="18"/>
                <w:szCs w:val="18"/>
              </w:rPr>
              <w:t xml:space="preserve">El avance acumulado (PDD) a </w:t>
            </w:r>
            <w:proofErr w:type="gramStart"/>
            <w:r w:rsidRPr="00D938AD">
              <w:rPr>
                <w:sz w:val="18"/>
                <w:szCs w:val="18"/>
              </w:rPr>
              <w:t>diciembre  31</w:t>
            </w:r>
            <w:proofErr w:type="gramEnd"/>
            <w:r w:rsidRPr="00D938AD">
              <w:rPr>
                <w:sz w:val="18"/>
                <w:szCs w:val="18"/>
              </w:rPr>
              <w:t xml:space="preserve"> de 2024 equivale a un total de 68.128 estudiantes beneficiados a través de los proyectos de Ciempiés, Al Colegio en Bici, </w:t>
            </w:r>
            <w:proofErr w:type="spellStart"/>
            <w:r w:rsidRPr="00D938AD">
              <w:rPr>
                <w:sz w:val="18"/>
                <w:szCs w:val="18"/>
              </w:rPr>
              <w:t>BiciParceros</w:t>
            </w:r>
            <w:proofErr w:type="spellEnd"/>
            <w:r w:rsidRPr="00D938AD">
              <w:rPr>
                <w:sz w:val="18"/>
                <w:szCs w:val="18"/>
              </w:rPr>
              <w:t>, Ruta Pila y la estrategia Guardacaminos que pertenecen al Programa Niñas y Niños Primero.</w:t>
            </w:r>
          </w:p>
          <w:p w14:paraId="0BBC6ADB"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cuenta con un total de 1.570.386 viajes de acompañamiento, de los cuales corresponden 1.296.078 Al Colegio y Bici y 274.308 a Ciempiés. De igual manera, con la estrategia Guardacaminos, a la fecha 35 colegios han alcanzado la fase de implementación de los pasos seguros y cierres viales en los horarios de entrada y salida de clases y con el proyecto Ruta Pila se han realizado 119 actividades de control en las que se han revisado y controlado 2.757 vehículos de transporte escolar.</w:t>
            </w:r>
          </w:p>
          <w:p w14:paraId="565C0A55" w14:textId="77777777" w:rsidR="007B1C78" w:rsidRPr="00D938AD" w:rsidRDefault="007B1C78" w:rsidP="007B1C78">
            <w:pPr>
              <w:widowControl w:val="0"/>
              <w:spacing w:after="0" w:line="240" w:lineRule="auto"/>
              <w:jc w:val="both"/>
              <w:rPr>
                <w:sz w:val="18"/>
                <w:szCs w:val="18"/>
              </w:rPr>
            </w:pPr>
            <w:r w:rsidRPr="00D938AD">
              <w:rPr>
                <w:sz w:val="18"/>
                <w:szCs w:val="18"/>
              </w:rPr>
              <w:t xml:space="preserve">De los 68.128 estudiantes beneficiados, 9.831 estudiantes han sido acompañados o monitoreados por la operación de Al Colegio en Bici y </w:t>
            </w:r>
            <w:proofErr w:type="spellStart"/>
            <w:r w:rsidRPr="00D938AD">
              <w:rPr>
                <w:sz w:val="18"/>
                <w:szCs w:val="18"/>
              </w:rPr>
              <w:t>Biciparceros</w:t>
            </w:r>
            <w:proofErr w:type="spellEnd"/>
            <w:r w:rsidRPr="00D938AD">
              <w:rPr>
                <w:sz w:val="18"/>
                <w:szCs w:val="18"/>
              </w:rPr>
              <w:t>, 2.927 han sido beneficiados con los acompañamientos a pie del proyecto Ciempiés Caminos Seguros, 22.000 niñas, niños y adolescentes han sido beneficiados con la implementación de los cruces seguros de Guardacaminos y finalmente 33.370 se han beneficiado de los controles a vehículos de transporte escolar del proyecto Ruta Pila.</w:t>
            </w:r>
          </w:p>
          <w:p w14:paraId="24053041" w14:textId="77777777" w:rsidR="007B1C78" w:rsidRPr="00D938AD" w:rsidRDefault="007B1C78" w:rsidP="007B1C78">
            <w:pPr>
              <w:widowControl w:val="0"/>
              <w:spacing w:after="0" w:line="240" w:lineRule="auto"/>
              <w:jc w:val="both"/>
              <w:rPr>
                <w:sz w:val="18"/>
                <w:szCs w:val="18"/>
              </w:rPr>
            </w:pPr>
            <w:r w:rsidRPr="00D938AD">
              <w:rPr>
                <w:sz w:val="18"/>
                <w:szCs w:val="18"/>
              </w:rPr>
              <w:lastRenderedPageBreak/>
              <w:t xml:space="preserve"> A continuación, se brinda mayor detalle para los avances de la vigencia 2024 desde junio hasta noviembre: </w:t>
            </w:r>
          </w:p>
          <w:p w14:paraId="7618EB20" w14:textId="77777777" w:rsidR="007B1C78" w:rsidRPr="00D938AD" w:rsidRDefault="007B1C78" w:rsidP="007B1C78">
            <w:pPr>
              <w:widowControl w:val="0"/>
              <w:spacing w:after="0" w:line="240" w:lineRule="auto"/>
              <w:jc w:val="both"/>
              <w:rPr>
                <w:sz w:val="18"/>
                <w:szCs w:val="18"/>
              </w:rPr>
            </w:pPr>
            <w:r w:rsidRPr="00D938AD">
              <w:rPr>
                <w:sz w:val="18"/>
                <w:szCs w:val="18"/>
              </w:rPr>
              <w:t xml:space="preserve">- Al Colegio en Bici a la fecha ha logrado la activación de 131 rutas de confianza y 23 polígonos de </w:t>
            </w:r>
            <w:proofErr w:type="spellStart"/>
            <w:r w:rsidRPr="00D938AD">
              <w:rPr>
                <w:sz w:val="18"/>
                <w:szCs w:val="18"/>
              </w:rPr>
              <w:t>BiciParceros</w:t>
            </w:r>
            <w:proofErr w:type="spellEnd"/>
            <w:r w:rsidRPr="00D938AD">
              <w:rPr>
                <w:sz w:val="18"/>
                <w:szCs w:val="18"/>
              </w:rPr>
              <w:t xml:space="preserve">, logrando beneficiar a 9.831 estudiantes, distribuidos en las 15 localidades de la siguiente manera: Antonio Nariño 131, Barrio Unidos 117, Bosa 1819, Ciudad Bolívar 643, Engativá 1771, Fontibón 510, Kennedy 1267, Los Mártires 153, Puente Aranda 589, Rafael Uribe </w:t>
            </w:r>
            <w:proofErr w:type="spellStart"/>
            <w:r w:rsidRPr="00D938AD">
              <w:rPr>
                <w:sz w:val="18"/>
                <w:szCs w:val="18"/>
              </w:rPr>
              <w:t>Uribe</w:t>
            </w:r>
            <w:proofErr w:type="spellEnd"/>
            <w:r w:rsidRPr="00D938AD">
              <w:rPr>
                <w:sz w:val="18"/>
                <w:szCs w:val="18"/>
              </w:rPr>
              <w:t xml:space="preserve"> 395, San Cristóbal 55, Suba 1461, Tunjuelito 347, Usaquén 346 y Usme 227. De los 9.831 estudiantes beneficiados 6.337 se encuentran entre los 5 y los 12 años de edad, y 3.494 de 13 en adelante. Adicionalmente 3.457 son niñas y 6.374 son niños.</w:t>
            </w:r>
          </w:p>
          <w:p w14:paraId="35012FB3" w14:textId="77777777" w:rsidR="007B1C78" w:rsidRPr="00D938AD" w:rsidRDefault="007B1C78" w:rsidP="007B1C78">
            <w:pPr>
              <w:widowControl w:val="0"/>
              <w:spacing w:after="0" w:line="240" w:lineRule="auto"/>
              <w:jc w:val="both"/>
              <w:rPr>
                <w:sz w:val="18"/>
                <w:szCs w:val="18"/>
              </w:rPr>
            </w:pPr>
            <w:r w:rsidRPr="00D938AD">
              <w:rPr>
                <w:sz w:val="18"/>
                <w:szCs w:val="18"/>
              </w:rPr>
              <w:t xml:space="preserve">-Desde la iniciativa Ciempiés a la fecha, se ha beneficiado un total de 2.927 estudiantes en 9 localidades. Entre ellos, 412 están ubicados en Usaquén,147 en San Cristóbal, 51 en Tunjuelito, 625 en Bosa, 398 en Kennedy, 611 en Suba, 280 en Los Mártires, 184 en Rafael Uribe </w:t>
            </w:r>
            <w:proofErr w:type="spellStart"/>
            <w:r w:rsidRPr="00D938AD">
              <w:rPr>
                <w:sz w:val="18"/>
                <w:szCs w:val="18"/>
              </w:rPr>
              <w:t>Uribe</w:t>
            </w:r>
            <w:proofErr w:type="spellEnd"/>
            <w:r w:rsidRPr="00D938AD">
              <w:rPr>
                <w:sz w:val="18"/>
                <w:szCs w:val="18"/>
              </w:rPr>
              <w:t>, 219 en Ciudad Bolívar. De los 2927 estudiantes beneficiados, 2657 se encuentran entre los 5 y los 12 años, y 270 tienen 13 años o más. Adicionalmente, 1.482 son niñas y 1.445 son niños.</w:t>
            </w:r>
          </w:p>
          <w:p w14:paraId="098FB049" w14:textId="77777777" w:rsidR="007B1C78" w:rsidRPr="00D938AD" w:rsidRDefault="007B1C78" w:rsidP="007B1C78">
            <w:pPr>
              <w:widowControl w:val="0"/>
              <w:spacing w:after="0" w:line="240" w:lineRule="auto"/>
              <w:jc w:val="both"/>
              <w:rPr>
                <w:sz w:val="18"/>
                <w:szCs w:val="18"/>
              </w:rPr>
            </w:pPr>
            <w:r w:rsidRPr="00D938AD">
              <w:rPr>
                <w:sz w:val="18"/>
                <w:szCs w:val="18"/>
              </w:rPr>
              <w:t xml:space="preserve">- Mediante el proyecto de “Guardacaminos”, se tiene que los 22.000 beneficiados se distribuyen por 12 localidades de la siguiente manera: Santa Fe (1230); San Cristóbal (2066); Usme (3010); Tunjuelito (350); Bosa (3050); Kennedy (3320); Fontibón (1300); Engativá (3850); Antonio Nariño (1764); Puente Aranda (100); Rafael Uribe </w:t>
            </w:r>
            <w:proofErr w:type="spellStart"/>
            <w:r w:rsidRPr="00D938AD">
              <w:rPr>
                <w:sz w:val="18"/>
                <w:szCs w:val="18"/>
              </w:rPr>
              <w:t>Uribe</w:t>
            </w:r>
            <w:proofErr w:type="spellEnd"/>
            <w:r w:rsidRPr="00D938AD">
              <w:rPr>
                <w:sz w:val="18"/>
                <w:szCs w:val="18"/>
              </w:rPr>
              <w:t xml:space="preserve"> (630); Ciudad Bolívar (1330).</w:t>
            </w:r>
          </w:p>
          <w:p w14:paraId="686A9438" w14:textId="77777777" w:rsidR="007B1C78" w:rsidRPr="00D938AD" w:rsidRDefault="007B1C78" w:rsidP="007B1C78">
            <w:pPr>
              <w:widowControl w:val="0"/>
              <w:spacing w:after="0" w:line="240" w:lineRule="auto"/>
              <w:jc w:val="both"/>
              <w:rPr>
                <w:sz w:val="18"/>
                <w:szCs w:val="18"/>
              </w:rPr>
            </w:pPr>
            <w:r w:rsidRPr="00D938AD">
              <w:rPr>
                <w:sz w:val="18"/>
                <w:szCs w:val="18"/>
              </w:rPr>
              <w:t xml:space="preserve">- Desde el proyecto “Ruta Pila” se han beneficiado 33.370 estudiantes distribuidos en 15 localidades así: Usaquén (821), Chapinero (1230), Santa Fe (2278) San Cristóbal (155), Tunjuelito (708), Bosa (843), Kennedy (3773), Fontibón (3425), Engativá (1987), Suba (12405), Teusaquillo (2852) Antonio Nariño (574), Puente Aranda (1430), Rafael Uribe </w:t>
            </w:r>
            <w:proofErr w:type="spellStart"/>
            <w:r w:rsidRPr="00D938AD">
              <w:rPr>
                <w:sz w:val="18"/>
                <w:szCs w:val="18"/>
              </w:rPr>
              <w:t>Uribe</w:t>
            </w:r>
            <w:proofErr w:type="spellEnd"/>
            <w:r w:rsidRPr="00D938AD">
              <w:rPr>
                <w:sz w:val="18"/>
                <w:szCs w:val="18"/>
              </w:rPr>
              <w:t xml:space="preserve"> (789), Ciudad Bolívar (100).</w:t>
            </w:r>
          </w:p>
          <w:p w14:paraId="6F6CA105" w14:textId="77777777" w:rsidR="007B1C78" w:rsidRDefault="007B1C78" w:rsidP="007B1C78">
            <w:pPr>
              <w:widowControl w:val="0"/>
              <w:spacing w:after="0" w:line="240" w:lineRule="auto"/>
              <w:jc w:val="both"/>
              <w:rPr>
                <w:sz w:val="18"/>
                <w:szCs w:val="18"/>
              </w:rPr>
            </w:pPr>
          </w:p>
        </w:tc>
      </w:tr>
      <w:tr w:rsidR="007B1C78" w14:paraId="1D6F65BE" w14:textId="77777777" w:rsidTr="006025AD">
        <w:trPr>
          <w:trHeight w:val="420"/>
        </w:trPr>
        <w:tc>
          <w:tcPr>
            <w:tcW w:w="2565" w:type="dxa"/>
            <w:shd w:val="clear" w:color="auto" w:fill="EAF1DD" w:themeFill="accent3" w:themeFillTint="33"/>
            <w:tcMar>
              <w:top w:w="100" w:type="dxa"/>
              <w:left w:w="100" w:type="dxa"/>
              <w:bottom w:w="100" w:type="dxa"/>
              <w:right w:w="100" w:type="dxa"/>
            </w:tcMar>
          </w:tcPr>
          <w:p w14:paraId="405D8BC0" w14:textId="5BC50EEB" w:rsidR="007B1C78" w:rsidRDefault="007B1C78" w:rsidP="007B1C78">
            <w:pPr>
              <w:widowControl w:val="0"/>
              <w:spacing w:after="0" w:line="240" w:lineRule="auto"/>
              <w:jc w:val="both"/>
              <w:rPr>
                <w:sz w:val="20"/>
                <w:szCs w:val="20"/>
              </w:rPr>
            </w:pPr>
            <w:r w:rsidRPr="00D938AD">
              <w:rPr>
                <w:sz w:val="18"/>
                <w:szCs w:val="18"/>
              </w:rPr>
              <w:lastRenderedPageBreak/>
              <w:t xml:space="preserve">1982. Realizar 35.000 intervenciones en las vías y el espacio público para la </w:t>
            </w:r>
            <w:r w:rsidRPr="00D938AD">
              <w:rPr>
                <w:sz w:val="18"/>
                <w:szCs w:val="18"/>
              </w:rPr>
              <w:lastRenderedPageBreak/>
              <w:t>movilidad enfocadas en la mejora de la seguridad vial, priorizando actividades de señalización y demarcación</w:t>
            </w:r>
          </w:p>
        </w:tc>
        <w:tc>
          <w:tcPr>
            <w:tcW w:w="1500" w:type="dxa"/>
            <w:shd w:val="clear" w:color="auto" w:fill="EAF1DD" w:themeFill="accent3" w:themeFillTint="33"/>
            <w:tcMar>
              <w:top w:w="100" w:type="dxa"/>
              <w:left w:w="100" w:type="dxa"/>
              <w:bottom w:w="100" w:type="dxa"/>
              <w:right w:w="100" w:type="dxa"/>
            </w:tcMar>
          </w:tcPr>
          <w:p w14:paraId="5FC70A0F" w14:textId="31DA40C3" w:rsidR="007B1C78" w:rsidRDefault="007B1C78" w:rsidP="007B1C78">
            <w:pPr>
              <w:widowControl w:val="0"/>
              <w:spacing w:after="0" w:line="240" w:lineRule="auto"/>
              <w:jc w:val="center"/>
              <w:rPr>
                <w:sz w:val="18"/>
                <w:szCs w:val="18"/>
              </w:rPr>
            </w:pPr>
            <w:r w:rsidRPr="00D938AD">
              <w:rPr>
                <w:sz w:val="18"/>
                <w:szCs w:val="18"/>
              </w:rPr>
              <w:lastRenderedPageBreak/>
              <w:t>2.640</w:t>
            </w:r>
          </w:p>
        </w:tc>
        <w:tc>
          <w:tcPr>
            <w:tcW w:w="1245" w:type="dxa"/>
            <w:shd w:val="clear" w:color="auto" w:fill="EAF1DD" w:themeFill="accent3" w:themeFillTint="33"/>
            <w:tcMar>
              <w:top w:w="100" w:type="dxa"/>
              <w:left w:w="100" w:type="dxa"/>
              <w:bottom w:w="100" w:type="dxa"/>
              <w:right w:w="100" w:type="dxa"/>
            </w:tcMar>
          </w:tcPr>
          <w:p w14:paraId="71D9BBF6" w14:textId="1CF34831" w:rsidR="007B1C78" w:rsidRDefault="007B1C78" w:rsidP="007B1C78">
            <w:pPr>
              <w:widowControl w:val="0"/>
              <w:spacing w:after="0" w:line="240" w:lineRule="auto"/>
              <w:jc w:val="center"/>
              <w:rPr>
                <w:sz w:val="18"/>
                <w:szCs w:val="18"/>
              </w:rPr>
            </w:pPr>
            <w:r w:rsidRPr="00D938AD">
              <w:rPr>
                <w:sz w:val="18"/>
                <w:szCs w:val="18"/>
              </w:rPr>
              <w:t>2.640</w:t>
            </w:r>
          </w:p>
        </w:tc>
        <w:tc>
          <w:tcPr>
            <w:tcW w:w="1530" w:type="dxa"/>
            <w:shd w:val="clear" w:color="auto" w:fill="EAF1DD" w:themeFill="accent3" w:themeFillTint="33"/>
            <w:tcMar>
              <w:top w:w="100" w:type="dxa"/>
              <w:left w:w="100" w:type="dxa"/>
              <w:bottom w:w="100" w:type="dxa"/>
              <w:right w:w="100" w:type="dxa"/>
            </w:tcMar>
          </w:tcPr>
          <w:p w14:paraId="490CB664" w14:textId="3C2540FD"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EAF1DD" w:themeFill="accent3" w:themeFillTint="33"/>
            <w:tcMar>
              <w:top w:w="100" w:type="dxa"/>
              <w:left w:w="100" w:type="dxa"/>
              <w:bottom w:w="100" w:type="dxa"/>
              <w:right w:w="100" w:type="dxa"/>
            </w:tcMar>
          </w:tcPr>
          <w:p w14:paraId="07BDF512" w14:textId="7C3B04CB" w:rsidR="007B1C78" w:rsidRDefault="007B1C78" w:rsidP="007B1C78">
            <w:pPr>
              <w:widowControl w:val="0"/>
              <w:spacing w:after="0" w:line="240" w:lineRule="auto"/>
              <w:jc w:val="both"/>
              <w:rPr>
                <w:sz w:val="18"/>
                <w:szCs w:val="18"/>
              </w:rPr>
            </w:pPr>
            <w:r w:rsidRPr="00D938AD">
              <w:rPr>
                <w:sz w:val="18"/>
                <w:szCs w:val="18"/>
              </w:rPr>
              <w:t xml:space="preserve">Diciembre: En lo transcurrido de la vigencia 2024 se han implementado 2.640 intervenciones en las vías y el espacio público, orientadas a señalización horizontal y vertical en la en segmentos viales de la Malla vial local (MVL), Malla vial Intermedia (MVI) </w:t>
            </w:r>
            <w:r w:rsidRPr="00D938AD">
              <w:rPr>
                <w:sz w:val="18"/>
                <w:szCs w:val="18"/>
              </w:rPr>
              <w:lastRenderedPageBreak/>
              <w:t xml:space="preserve">Malla vial Arterial (MVA). Se han implementado 1.812 intervenciones integrales, equivalentes a 207,416 kilómetros demarcados de señalización horizontal y vertical en los segmentos viales de la MVL, MVI y MVA de la ciudad, dentro de las que se encuentran: medidas integrales de gestión, mantenimiento e implementación de señales verticales, señalización de zona escolar y pasos peatonales, mejorando las condiciones de las condiciones de movilidad y seguridad vial y  828 intervenciones de prevención vial dirigida a los diferentes actores viales en la ciudad, de los cuales se obtuvieron los siguientes resultados:  137.796 actores viales sensibilizados, de los cuales 53.836 fueron motociclistas (39,1%), seguido de ciclistas con 23.586 (17,1%), peatones 18.216 (13,2%), conductores con 17.693 (12,8%), pasajeros con 16.114 (11,7%) y estudiantes con 8.351 (6,1%). </w:t>
            </w:r>
          </w:p>
        </w:tc>
      </w:tr>
      <w:tr w:rsidR="007B1C78" w14:paraId="09CF46F8" w14:textId="77777777" w:rsidTr="006025AD">
        <w:trPr>
          <w:trHeight w:val="420"/>
        </w:trPr>
        <w:tc>
          <w:tcPr>
            <w:tcW w:w="2565" w:type="dxa"/>
            <w:shd w:val="clear" w:color="auto" w:fill="DBE5F1"/>
            <w:tcMar>
              <w:top w:w="100" w:type="dxa"/>
              <w:left w:w="100" w:type="dxa"/>
              <w:bottom w:w="100" w:type="dxa"/>
              <w:right w:w="100" w:type="dxa"/>
            </w:tcMar>
          </w:tcPr>
          <w:p w14:paraId="73847E65" w14:textId="7F33EC9C" w:rsidR="007B1C78" w:rsidRDefault="007B1C78" w:rsidP="007B1C78">
            <w:pPr>
              <w:widowControl w:val="0"/>
              <w:spacing w:after="0" w:line="240" w:lineRule="auto"/>
              <w:jc w:val="both"/>
              <w:rPr>
                <w:sz w:val="20"/>
                <w:szCs w:val="20"/>
              </w:rPr>
            </w:pPr>
            <w:r w:rsidRPr="00D938AD">
              <w:rPr>
                <w:sz w:val="18"/>
                <w:szCs w:val="18"/>
              </w:rPr>
              <w:lastRenderedPageBreak/>
              <w:t>1985. Recuperar 30.000 m2 de espacio público para una movilidad más segura y accesible, principalmente en entornos relacionados con la movilidad activa y sostenible, siguiendo el enfoque de calle completa</w:t>
            </w:r>
          </w:p>
        </w:tc>
        <w:tc>
          <w:tcPr>
            <w:tcW w:w="1500" w:type="dxa"/>
            <w:shd w:val="clear" w:color="auto" w:fill="DBE5F1"/>
            <w:tcMar>
              <w:top w:w="100" w:type="dxa"/>
              <w:left w:w="100" w:type="dxa"/>
              <w:bottom w:w="100" w:type="dxa"/>
              <w:right w:w="100" w:type="dxa"/>
            </w:tcMar>
          </w:tcPr>
          <w:p w14:paraId="3CF1DE2E" w14:textId="06090919" w:rsidR="007B1C78" w:rsidRDefault="007B1C78" w:rsidP="007B1C78">
            <w:pPr>
              <w:widowControl w:val="0"/>
              <w:spacing w:after="0" w:line="240" w:lineRule="auto"/>
              <w:jc w:val="center"/>
              <w:rPr>
                <w:sz w:val="18"/>
                <w:szCs w:val="18"/>
              </w:rPr>
            </w:pPr>
            <w:r w:rsidRPr="00D938AD">
              <w:rPr>
                <w:sz w:val="18"/>
                <w:szCs w:val="18"/>
              </w:rPr>
              <w:t>1.401,81</w:t>
            </w:r>
          </w:p>
        </w:tc>
        <w:tc>
          <w:tcPr>
            <w:tcW w:w="1245" w:type="dxa"/>
            <w:shd w:val="clear" w:color="auto" w:fill="DBE5F1"/>
            <w:tcMar>
              <w:top w:w="100" w:type="dxa"/>
              <w:left w:w="100" w:type="dxa"/>
              <w:bottom w:w="100" w:type="dxa"/>
              <w:right w:w="100" w:type="dxa"/>
            </w:tcMar>
          </w:tcPr>
          <w:p w14:paraId="25E55D5C" w14:textId="23AEB144" w:rsidR="007B1C78" w:rsidRDefault="007B1C78" w:rsidP="007B1C78">
            <w:pPr>
              <w:widowControl w:val="0"/>
              <w:spacing w:after="0" w:line="240" w:lineRule="auto"/>
              <w:jc w:val="center"/>
              <w:rPr>
                <w:sz w:val="18"/>
                <w:szCs w:val="18"/>
              </w:rPr>
            </w:pPr>
            <w:r w:rsidRPr="00D938AD">
              <w:rPr>
                <w:sz w:val="18"/>
                <w:szCs w:val="18"/>
              </w:rPr>
              <w:t>1.401,81</w:t>
            </w:r>
          </w:p>
        </w:tc>
        <w:tc>
          <w:tcPr>
            <w:tcW w:w="1530" w:type="dxa"/>
            <w:shd w:val="clear" w:color="auto" w:fill="DBE5F1"/>
            <w:tcMar>
              <w:top w:w="100" w:type="dxa"/>
              <w:left w:w="100" w:type="dxa"/>
              <w:bottom w:w="100" w:type="dxa"/>
              <w:right w:w="100" w:type="dxa"/>
            </w:tcMar>
          </w:tcPr>
          <w:p w14:paraId="6B3B534F" w14:textId="7FD3457B"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DBE5F1"/>
            <w:tcMar>
              <w:top w:w="100" w:type="dxa"/>
              <w:left w:w="100" w:type="dxa"/>
              <w:bottom w:w="100" w:type="dxa"/>
              <w:right w:w="100" w:type="dxa"/>
            </w:tcMar>
          </w:tcPr>
          <w:p w14:paraId="5DF7E313" w14:textId="671D8055" w:rsidR="007B1C78" w:rsidRDefault="007B1C78" w:rsidP="007B1C78">
            <w:pPr>
              <w:widowControl w:val="0"/>
              <w:spacing w:after="0" w:line="240" w:lineRule="auto"/>
              <w:jc w:val="both"/>
              <w:rPr>
                <w:sz w:val="18"/>
                <w:szCs w:val="18"/>
              </w:rPr>
            </w:pPr>
            <w:r w:rsidRPr="00D938AD">
              <w:rPr>
                <w:sz w:val="18"/>
                <w:szCs w:val="18"/>
              </w:rPr>
              <w:t>Durante lo corrido de la vigencia se han implementado 1401,81 mts.2, implementando urbanismo táctico de San Fernando en la localidad de Barrios Unidos con una intervención de 650,63 mts.</w:t>
            </w:r>
            <w:proofErr w:type="gramStart"/>
            <w:r w:rsidRPr="00D938AD">
              <w:rPr>
                <w:sz w:val="18"/>
                <w:szCs w:val="18"/>
              </w:rPr>
              <w:t>2 ;</w:t>
            </w:r>
            <w:proofErr w:type="gramEnd"/>
            <w:r w:rsidRPr="00D938AD">
              <w:rPr>
                <w:sz w:val="18"/>
                <w:szCs w:val="18"/>
              </w:rPr>
              <w:t xml:space="preserve"> urbanismo táctico de Museo Nacional en la localidad de Santa </w:t>
            </w:r>
            <w:proofErr w:type="spellStart"/>
            <w:r w:rsidRPr="00D938AD">
              <w:rPr>
                <w:sz w:val="18"/>
                <w:szCs w:val="18"/>
              </w:rPr>
              <w:t>Fé</w:t>
            </w:r>
            <w:proofErr w:type="spellEnd"/>
            <w:r w:rsidRPr="00D938AD">
              <w:rPr>
                <w:sz w:val="18"/>
                <w:szCs w:val="18"/>
              </w:rPr>
              <w:t xml:space="preserve"> con una intervención de 360,26 metros cuadrados y el urbanismo táctico de Acevedo Tejada en la localidad de Teusaquillo con una intervención de 390,92 m2. que corresponden a recuperación peatonal.</w:t>
            </w:r>
          </w:p>
        </w:tc>
      </w:tr>
      <w:tr w:rsidR="007B1C78" w14:paraId="0BA6511B" w14:textId="77777777" w:rsidTr="006025AD">
        <w:trPr>
          <w:trHeight w:val="420"/>
        </w:trPr>
        <w:tc>
          <w:tcPr>
            <w:tcW w:w="2565" w:type="dxa"/>
            <w:shd w:val="clear" w:color="auto" w:fill="EAF1DD" w:themeFill="accent3" w:themeFillTint="33"/>
            <w:tcMar>
              <w:top w:w="100" w:type="dxa"/>
              <w:left w:w="100" w:type="dxa"/>
              <w:bottom w:w="100" w:type="dxa"/>
              <w:right w:w="100" w:type="dxa"/>
            </w:tcMar>
          </w:tcPr>
          <w:p w14:paraId="4E5D849D" w14:textId="71D1386F" w:rsidR="007B1C78" w:rsidRDefault="007B1C78" w:rsidP="007B1C78">
            <w:pPr>
              <w:widowControl w:val="0"/>
              <w:spacing w:after="0" w:line="240" w:lineRule="auto"/>
              <w:jc w:val="both"/>
              <w:rPr>
                <w:sz w:val="20"/>
                <w:szCs w:val="20"/>
              </w:rPr>
            </w:pPr>
            <w:r w:rsidRPr="00D938AD">
              <w:rPr>
                <w:sz w:val="18"/>
                <w:szCs w:val="18"/>
              </w:rPr>
              <w:t>1983. Realizar seguimiento al 100% de los PMT (Planes de Manejo de Tránsito) que generen mayor afectación a los usuarios priorizando la seguridad e infraestructura a las y los peatones y ciclistas</w:t>
            </w:r>
          </w:p>
        </w:tc>
        <w:tc>
          <w:tcPr>
            <w:tcW w:w="1500" w:type="dxa"/>
            <w:shd w:val="clear" w:color="auto" w:fill="EAF1DD" w:themeFill="accent3" w:themeFillTint="33"/>
            <w:tcMar>
              <w:top w:w="100" w:type="dxa"/>
              <w:left w:w="100" w:type="dxa"/>
              <w:bottom w:w="100" w:type="dxa"/>
              <w:right w:w="100" w:type="dxa"/>
            </w:tcMar>
          </w:tcPr>
          <w:p w14:paraId="74B55F96" w14:textId="026EE853" w:rsidR="007B1C78" w:rsidRDefault="007B1C78" w:rsidP="007B1C78">
            <w:pPr>
              <w:widowControl w:val="0"/>
              <w:spacing w:after="0" w:line="240" w:lineRule="auto"/>
              <w:jc w:val="center"/>
              <w:rPr>
                <w:sz w:val="18"/>
                <w:szCs w:val="18"/>
              </w:rPr>
            </w:pPr>
            <w:r w:rsidRPr="00D938AD">
              <w:rPr>
                <w:sz w:val="18"/>
                <w:szCs w:val="18"/>
              </w:rPr>
              <w:t>100</w:t>
            </w:r>
          </w:p>
        </w:tc>
        <w:tc>
          <w:tcPr>
            <w:tcW w:w="1245" w:type="dxa"/>
            <w:shd w:val="clear" w:color="auto" w:fill="EAF1DD" w:themeFill="accent3" w:themeFillTint="33"/>
            <w:tcMar>
              <w:top w:w="100" w:type="dxa"/>
              <w:left w:w="100" w:type="dxa"/>
              <w:bottom w:w="100" w:type="dxa"/>
              <w:right w:w="100" w:type="dxa"/>
            </w:tcMar>
          </w:tcPr>
          <w:p w14:paraId="6D20F48D" w14:textId="73D35E23" w:rsidR="007B1C78" w:rsidRDefault="007B1C78" w:rsidP="007B1C78">
            <w:pPr>
              <w:widowControl w:val="0"/>
              <w:spacing w:after="0" w:line="240" w:lineRule="auto"/>
              <w:jc w:val="center"/>
              <w:rPr>
                <w:sz w:val="18"/>
                <w:szCs w:val="18"/>
              </w:rPr>
            </w:pPr>
            <w:r w:rsidRPr="00D938AD">
              <w:rPr>
                <w:sz w:val="18"/>
                <w:szCs w:val="18"/>
              </w:rPr>
              <w:t>100</w:t>
            </w:r>
          </w:p>
        </w:tc>
        <w:tc>
          <w:tcPr>
            <w:tcW w:w="1530" w:type="dxa"/>
            <w:shd w:val="clear" w:color="auto" w:fill="EAF1DD" w:themeFill="accent3" w:themeFillTint="33"/>
            <w:tcMar>
              <w:top w:w="100" w:type="dxa"/>
              <w:left w:w="100" w:type="dxa"/>
              <w:bottom w:w="100" w:type="dxa"/>
              <w:right w:w="100" w:type="dxa"/>
            </w:tcMar>
          </w:tcPr>
          <w:p w14:paraId="2452B731" w14:textId="0ECF6872"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EAF1DD" w:themeFill="accent3" w:themeFillTint="33"/>
            <w:tcMar>
              <w:top w:w="100" w:type="dxa"/>
              <w:left w:w="100" w:type="dxa"/>
              <w:bottom w:w="100" w:type="dxa"/>
              <w:right w:w="100" w:type="dxa"/>
            </w:tcMar>
          </w:tcPr>
          <w:p w14:paraId="45E68E0B" w14:textId="77777777" w:rsidR="007B1C78" w:rsidRPr="00D938AD" w:rsidRDefault="007B1C78" w:rsidP="007B1C78">
            <w:pPr>
              <w:widowControl w:val="0"/>
              <w:spacing w:after="0" w:line="240" w:lineRule="auto"/>
              <w:jc w:val="both"/>
              <w:rPr>
                <w:sz w:val="18"/>
                <w:szCs w:val="18"/>
              </w:rPr>
            </w:pPr>
            <w:r w:rsidRPr="00D938AD">
              <w:rPr>
                <w:sz w:val="18"/>
                <w:szCs w:val="18"/>
              </w:rPr>
              <w:t>Durante lo corrido de la vigencia 2024, se logró cumplir la meta establecida alcanzando el 100%, de manera tal que, se logra verificar el cumplimiento de lo autorizado por la Secretaría Distrital de Movilidad a los PMT que generan mayor afectación a los usuarios y con ello se genera el menor impacto negativo posible a la movilidad.</w:t>
            </w:r>
          </w:p>
          <w:p w14:paraId="38E4116A" w14:textId="77777777" w:rsidR="007B1C78" w:rsidRPr="00D938AD" w:rsidRDefault="007B1C78" w:rsidP="007B1C78">
            <w:pPr>
              <w:widowControl w:val="0"/>
              <w:spacing w:after="0" w:line="240" w:lineRule="auto"/>
              <w:jc w:val="both"/>
              <w:rPr>
                <w:sz w:val="18"/>
                <w:szCs w:val="18"/>
              </w:rPr>
            </w:pPr>
            <w:r w:rsidRPr="00D938AD">
              <w:rPr>
                <w:sz w:val="18"/>
                <w:szCs w:val="18"/>
              </w:rPr>
              <w:t>De un total de 13.400 PMT se realizó seguimiento a 13.400. El avance del 100% de las actividades se generan por la evaluación y autorización de las solicitudes de planes de manejo y los procesos contractuales del personal que apoya la ejecución de la meta. La evidencia de la meta corresponde a las bases de PMT aprobados y vigentes a la fecha y sus afectaciones.</w:t>
            </w:r>
          </w:p>
          <w:p w14:paraId="207CEC0C" w14:textId="77777777" w:rsidR="007B1C78" w:rsidRPr="00D938AD" w:rsidRDefault="007B1C78" w:rsidP="007B1C78">
            <w:pPr>
              <w:widowControl w:val="0"/>
              <w:spacing w:after="0" w:line="240" w:lineRule="auto"/>
              <w:jc w:val="both"/>
              <w:rPr>
                <w:sz w:val="18"/>
                <w:szCs w:val="18"/>
              </w:rPr>
            </w:pPr>
            <w:r w:rsidRPr="00D938AD">
              <w:rPr>
                <w:sz w:val="18"/>
                <w:szCs w:val="18"/>
              </w:rPr>
              <w:t>Las actividades se desarrollaron conforme a lo programado en un 100%.</w:t>
            </w:r>
          </w:p>
          <w:p w14:paraId="144A90EB" w14:textId="77777777" w:rsidR="007B1C78" w:rsidRDefault="007B1C78" w:rsidP="007B1C78">
            <w:pPr>
              <w:widowControl w:val="0"/>
              <w:spacing w:after="0" w:line="240" w:lineRule="auto"/>
              <w:jc w:val="both"/>
              <w:rPr>
                <w:sz w:val="18"/>
                <w:szCs w:val="18"/>
              </w:rPr>
            </w:pPr>
          </w:p>
        </w:tc>
      </w:tr>
      <w:tr w:rsidR="007B1C78" w14:paraId="72F477C4" w14:textId="77777777" w:rsidTr="006025AD">
        <w:trPr>
          <w:trHeight w:val="420"/>
        </w:trPr>
        <w:tc>
          <w:tcPr>
            <w:tcW w:w="2565" w:type="dxa"/>
            <w:shd w:val="clear" w:color="auto" w:fill="DBE5F1"/>
            <w:tcMar>
              <w:top w:w="100" w:type="dxa"/>
              <w:left w:w="100" w:type="dxa"/>
              <w:bottom w:w="100" w:type="dxa"/>
              <w:right w:w="100" w:type="dxa"/>
            </w:tcMar>
          </w:tcPr>
          <w:p w14:paraId="0F978852" w14:textId="73784858" w:rsidR="007B1C78" w:rsidRDefault="007B1C78" w:rsidP="007B1C78">
            <w:pPr>
              <w:widowControl w:val="0"/>
              <w:spacing w:after="0" w:line="240" w:lineRule="auto"/>
              <w:jc w:val="both"/>
              <w:rPr>
                <w:sz w:val="20"/>
                <w:szCs w:val="20"/>
              </w:rPr>
            </w:pPr>
            <w:r w:rsidRPr="00D938AD">
              <w:rPr>
                <w:sz w:val="18"/>
                <w:szCs w:val="18"/>
              </w:rPr>
              <w:lastRenderedPageBreak/>
              <w:t>1981. Realizar 300.000 intervenciones para mejorar las condiciones de movilidad en los corredores y puntos estratégicos de la ciudad región</w:t>
            </w:r>
          </w:p>
        </w:tc>
        <w:tc>
          <w:tcPr>
            <w:tcW w:w="1500" w:type="dxa"/>
            <w:shd w:val="clear" w:color="auto" w:fill="DBE5F1"/>
            <w:tcMar>
              <w:top w:w="100" w:type="dxa"/>
              <w:left w:w="100" w:type="dxa"/>
              <w:bottom w:w="100" w:type="dxa"/>
              <w:right w:w="100" w:type="dxa"/>
            </w:tcMar>
          </w:tcPr>
          <w:p w14:paraId="43556351" w14:textId="687C5CD1" w:rsidR="007B1C78" w:rsidRDefault="007B1C78" w:rsidP="007B1C78">
            <w:pPr>
              <w:widowControl w:val="0"/>
              <w:spacing w:after="0" w:line="240" w:lineRule="auto"/>
              <w:jc w:val="center"/>
              <w:rPr>
                <w:sz w:val="18"/>
                <w:szCs w:val="18"/>
              </w:rPr>
            </w:pPr>
            <w:r w:rsidRPr="00D938AD">
              <w:rPr>
                <w:sz w:val="18"/>
                <w:szCs w:val="18"/>
              </w:rPr>
              <w:t>54.500</w:t>
            </w:r>
          </w:p>
        </w:tc>
        <w:tc>
          <w:tcPr>
            <w:tcW w:w="1245" w:type="dxa"/>
            <w:shd w:val="clear" w:color="auto" w:fill="DBE5F1"/>
            <w:tcMar>
              <w:top w:w="100" w:type="dxa"/>
              <w:left w:w="100" w:type="dxa"/>
              <w:bottom w:w="100" w:type="dxa"/>
              <w:right w:w="100" w:type="dxa"/>
            </w:tcMar>
          </w:tcPr>
          <w:p w14:paraId="3DCFF6BD" w14:textId="060199B8" w:rsidR="007B1C78" w:rsidRDefault="007B1C78" w:rsidP="007B1C78">
            <w:pPr>
              <w:widowControl w:val="0"/>
              <w:spacing w:after="0" w:line="240" w:lineRule="auto"/>
              <w:jc w:val="center"/>
              <w:rPr>
                <w:sz w:val="18"/>
                <w:szCs w:val="18"/>
              </w:rPr>
            </w:pPr>
            <w:r w:rsidRPr="00D938AD">
              <w:rPr>
                <w:sz w:val="18"/>
                <w:szCs w:val="18"/>
              </w:rPr>
              <w:t>54.522</w:t>
            </w:r>
          </w:p>
        </w:tc>
        <w:tc>
          <w:tcPr>
            <w:tcW w:w="1530" w:type="dxa"/>
            <w:shd w:val="clear" w:color="auto" w:fill="DBE5F1"/>
            <w:tcMar>
              <w:top w:w="100" w:type="dxa"/>
              <w:left w:w="100" w:type="dxa"/>
              <w:bottom w:w="100" w:type="dxa"/>
              <w:right w:w="100" w:type="dxa"/>
            </w:tcMar>
          </w:tcPr>
          <w:p w14:paraId="6E39821B" w14:textId="0672C884" w:rsidR="007B1C78" w:rsidRDefault="007B1C78" w:rsidP="007B1C78">
            <w:pPr>
              <w:widowControl w:val="0"/>
              <w:spacing w:after="0" w:line="240" w:lineRule="auto"/>
              <w:jc w:val="center"/>
              <w:rPr>
                <w:sz w:val="18"/>
                <w:szCs w:val="18"/>
              </w:rPr>
            </w:pPr>
            <w:r w:rsidRPr="00D938AD">
              <w:rPr>
                <w:sz w:val="18"/>
                <w:szCs w:val="18"/>
              </w:rPr>
              <w:t>100%</w:t>
            </w:r>
          </w:p>
        </w:tc>
        <w:tc>
          <w:tcPr>
            <w:tcW w:w="6591" w:type="dxa"/>
            <w:shd w:val="clear" w:color="auto" w:fill="DBE5F1"/>
            <w:tcMar>
              <w:top w:w="100" w:type="dxa"/>
              <w:left w:w="100" w:type="dxa"/>
              <w:bottom w:w="100" w:type="dxa"/>
              <w:right w:w="100" w:type="dxa"/>
            </w:tcMar>
          </w:tcPr>
          <w:p w14:paraId="7C832AEB" w14:textId="77777777" w:rsidR="007B1C78" w:rsidRPr="00D938AD" w:rsidRDefault="007B1C78" w:rsidP="007B1C78">
            <w:pPr>
              <w:widowControl w:val="0"/>
              <w:spacing w:after="0" w:line="240" w:lineRule="auto"/>
              <w:jc w:val="both"/>
              <w:rPr>
                <w:sz w:val="18"/>
                <w:szCs w:val="18"/>
              </w:rPr>
            </w:pPr>
            <w:r w:rsidRPr="00D938AD">
              <w:rPr>
                <w:sz w:val="18"/>
                <w:szCs w:val="18"/>
              </w:rPr>
              <w:t xml:space="preserve">Durante lo corrido de la vigencia se realizaron 54.522 intervenciones para mejorar las condiciones de movilidad, distribuidas de la siguiente manera:  45.768 jornadas de gestión en vía: 1) gestión temporal de tránsito 32.147, 2) usuarios no motorizados 4.785, 3) eventos y manifestaciones 1.599, 4) pedagogías para la seguridad vial 85, 5) planes de manejo de tránsito de obras públicas 6.090, 6) apoyos a otras entidades 413, y 7) emergencias 649. </w:t>
            </w:r>
          </w:p>
          <w:p w14:paraId="2F4130A8" w14:textId="4F1277B3" w:rsidR="007B1C78" w:rsidRDefault="007B1C78" w:rsidP="007B1C78">
            <w:pPr>
              <w:widowControl w:val="0"/>
              <w:spacing w:after="0" w:line="240" w:lineRule="auto"/>
              <w:jc w:val="both"/>
              <w:rPr>
                <w:sz w:val="18"/>
                <w:szCs w:val="18"/>
              </w:rPr>
            </w:pPr>
            <w:r w:rsidRPr="00D938AD">
              <w:rPr>
                <w:sz w:val="18"/>
                <w:szCs w:val="18"/>
              </w:rPr>
              <w:t xml:space="preserve">Así mismo, se llevaron a cabo 8.754 intervenciones para la regulación y control del tránsito y el transporte en la ciudad de la siguiente manera: 1.266 operativos a motociclistas, 1.048 operativos de regulación, 970 operativos a peatones, 869 operativos a recuperación al espacio público, 708 operativos a ilegalidad en el tránsito, 696 operativos a embriaguez, 681 operativos a ciclistas, 569 operativos a ilegalidad en el transporte, 337 operativos a velocidad, 322 operativos a desobedecer señales, 318 operativos a cinturón de seguridad, 313 operativos a servicio escolar, 233 operativos a espacio público, 168 operativos éxodo-retorno, 87 operativos a piques ilegales, 54 operativos a carril escolar, 37 operativos plan integral, 32 operativos a </w:t>
            </w:r>
            <w:proofErr w:type="spellStart"/>
            <w:r w:rsidRPr="00D938AD">
              <w:rPr>
                <w:sz w:val="18"/>
                <w:szCs w:val="18"/>
              </w:rPr>
              <w:t>tricimotores</w:t>
            </w:r>
            <w:proofErr w:type="spellEnd"/>
            <w:r w:rsidRPr="00D938AD">
              <w:rPr>
                <w:sz w:val="18"/>
                <w:szCs w:val="18"/>
              </w:rPr>
              <w:t>, 23 operativos a contravía, 15 operativos a pico y placa, 7 operativos velocidad integral, 1 operativos plan motos.</w:t>
            </w:r>
          </w:p>
        </w:tc>
      </w:tr>
      <w:tr w:rsidR="007B1C78" w14:paraId="1CDB1C8A" w14:textId="77777777" w:rsidTr="006025AD">
        <w:trPr>
          <w:trHeight w:val="420"/>
        </w:trPr>
        <w:tc>
          <w:tcPr>
            <w:tcW w:w="2565" w:type="dxa"/>
            <w:shd w:val="clear" w:color="auto" w:fill="EAF1DD" w:themeFill="accent3" w:themeFillTint="33"/>
            <w:tcMar>
              <w:top w:w="100" w:type="dxa"/>
              <w:left w:w="100" w:type="dxa"/>
              <w:bottom w:w="100" w:type="dxa"/>
              <w:right w:w="100" w:type="dxa"/>
            </w:tcMar>
          </w:tcPr>
          <w:p w14:paraId="181A9503" w14:textId="1286F176" w:rsidR="007B1C78" w:rsidRDefault="007B1C78" w:rsidP="007B1C78">
            <w:pPr>
              <w:widowControl w:val="0"/>
              <w:spacing w:after="0" w:line="240" w:lineRule="auto"/>
              <w:jc w:val="both"/>
              <w:rPr>
                <w:sz w:val="20"/>
                <w:szCs w:val="20"/>
              </w:rPr>
            </w:pPr>
            <w:r w:rsidRPr="00D938AD">
              <w:rPr>
                <w:sz w:val="18"/>
                <w:szCs w:val="18"/>
              </w:rPr>
              <w:t>1974. Complementar con dispositivos que garanticen la accesibilidad de 361 intersecciones semafóricas que cumplan con las condiciones técnicas para tal fin</w:t>
            </w:r>
          </w:p>
        </w:tc>
        <w:tc>
          <w:tcPr>
            <w:tcW w:w="1500" w:type="dxa"/>
            <w:shd w:val="clear" w:color="auto" w:fill="EAF1DD" w:themeFill="accent3" w:themeFillTint="33"/>
            <w:tcMar>
              <w:top w:w="100" w:type="dxa"/>
              <w:left w:w="100" w:type="dxa"/>
              <w:bottom w:w="100" w:type="dxa"/>
              <w:right w:w="100" w:type="dxa"/>
            </w:tcMar>
          </w:tcPr>
          <w:p w14:paraId="4ED3610A" w14:textId="5DE9F0C4" w:rsidR="007B1C78" w:rsidRDefault="007B1C78" w:rsidP="007B1C78">
            <w:pPr>
              <w:widowControl w:val="0"/>
              <w:spacing w:after="0" w:line="240" w:lineRule="auto"/>
              <w:jc w:val="center"/>
              <w:rPr>
                <w:sz w:val="18"/>
                <w:szCs w:val="18"/>
              </w:rPr>
            </w:pPr>
            <w:r w:rsidRPr="00D938AD">
              <w:rPr>
                <w:sz w:val="18"/>
                <w:szCs w:val="18"/>
              </w:rPr>
              <w:t>30</w:t>
            </w:r>
          </w:p>
        </w:tc>
        <w:tc>
          <w:tcPr>
            <w:tcW w:w="1245" w:type="dxa"/>
            <w:shd w:val="clear" w:color="auto" w:fill="EAF1DD" w:themeFill="accent3" w:themeFillTint="33"/>
            <w:tcMar>
              <w:top w:w="100" w:type="dxa"/>
              <w:left w:w="100" w:type="dxa"/>
              <w:bottom w:w="100" w:type="dxa"/>
              <w:right w:w="100" w:type="dxa"/>
            </w:tcMar>
          </w:tcPr>
          <w:p w14:paraId="1E3EAB61" w14:textId="72C6722E" w:rsidR="007B1C78" w:rsidRDefault="007B1C78" w:rsidP="007B1C78">
            <w:pPr>
              <w:widowControl w:val="0"/>
              <w:spacing w:after="0" w:line="240" w:lineRule="auto"/>
              <w:jc w:val="center"/>
              <w:rPr>
                <w:sz w:val="18"/>
                <w:szCs w:val="18"/>
              </w:rPr>
            </w:pPr>
            <w:r w:rsidRPr="00D938AD">
              <w:rPr>
                <w:sz w:val="18"/>
                <w:szCs w:val="18"/>
              </w:rPr>
              <w:t>34</w:t>
            </w:r>
          </w:p>
        </w:tc>
        <w:tc>
          <w:tcPr>
            <w:tcW w:w="1530" w:type="dxa"/>
            <w:shd w:val="clear" w:color="auto" w:fill="EAF1DD" w:themeFill="accent3" w:themeFillTint="33"/>
            <w:tcMar>
              <w:top w:w="100" w:type="dxa"/>
              <w:left w:w="100" w:type="dxa"/>
              <w:bottom w:w="100" w:type="dxa"/>
              <w:right w:w="100" w:type="dxa"/>
            </w:tcMar>
          </w:tcPr>
          <w:p w14:paraId="65416D8C" w14:textId="42174CE4" w:rsidR="007B1C78" w:rsidRDefault="007B1C78" w:rsidP="007B1C78">
            <w:pPr>
              <w:widowControl w:val="0"/>
              <w:spacing w:after="0" w:line="240" w:lineRule="auto"/>
              <w:jc w:val="center"/>
              <w:rPr>
                <w:sz w:val="18"/>
                <w:szCs w:val="18"/>
              </w:rPr>
            </w:pPr>
            <w:r w:rsidRPr="00D938AD">
              <w:rPr>
                <w:sz w:val="18"/>
                <w:szCs w:val="18"/>
              </w:rPr>
              <w:t>113,3%</w:t>
            </w:r>
          </w:p>
        </w:tc>
        <w:tc>
          <w:tcPr>
            <w:tcW w:w="6591" w:type="dxa"/>
            <w:shd w:val="clear" w:color="auto" w:fill="EAF1DD" w:themeFill="accent3" w:themeFillTint="33"/>
            <w:tcMar>
              <w:top w:w="100" w:type="dxa"/>
              <w:left w:w="100" w:type="dxa"/>
              <w:bottom w:w="100" w:type="dxa"/>
              <w:right w:w="100" w:type="dxa"/>
            </w:tcMar>
          </w:tcPr>
          <w:p w14:paraId="1A146E60" w14:textId="12ED9C2D" w:rsidR="007B1C78" w:rsidRDefault="007B1C78" w:rsidP="007B1C78">
            <w:pPr>
              <w:widowControl w:val="0"/>
              <w:spacing w:after="0" w:line="240" w:lineRule="auto"/>
              <w:jc w:val="both"/>
              <w:rPr>
                <w:sz w:val="18"/>
                <w:szCs w:val="18"/>
              </w:rPr>
            </w:pPr>
            <w:r w:rsidRPr="00D938AD">
              <w:rPr>
                <w:sz w:val="18"/>
                <w:szCs w:val="18"/>
              </w:rPr>
              <w:t xml:space="preserve">Durante lo corrido de la vigencia se complementaron 34 intersecciones  con otros dispositivos sonoros, en las siguientes localidades: 4 </w:t>
            </w:r>
            <w:proofErr w:type="spellStart"/>
            <w:r w:rsidRPr="00D938AD">
              <w:rPr>
                <w:sz w:val="18"/>
                <w:szCs w:val="18"/>
              </w:rPr>
              <w:t>Usaquen</w:t>
            </w:r>
            <w:proofErr w:type="spellEnd"/>
            <w:r w:rsidRPr="00D938AD">
              <w:rPr>
                <w:sz w:val="18"/>
                <w:szCs w:val="18"/>
              </w:rPr>
              <w:t xml:space="preserve">; 2 Chapinero; 1 Santafé; 2 Usme; 1 Tunjuelito; 3 Bosa; 7 Kennedy; 1 Fontibón; 1 Engativá; 7 Suba; 2 Barrios Unidos; 2 Antonio Nariño y 1 Rafael Uribe; los cuales se discriminan en semáforos </w:t>
            </w:r>
            <w:proofErr w:type="spellStart"/>
            <w:r w:rsidRPr="00D938AD">
              <w:rPr>
                <w:sz w:val="18"/>
                <w:szCs w:val="18"/>
              </w:rPr>
              <w:t>vehícular</w:t>
            </w:r>
            <w:proofErr w:type="spellEnd"/>
            <w:r w:rsidRPr="00D938AD">
              <w:rPr>
                <w:sz w:val="18"/>
                <w:szCs w:val="18"/>
              </w:rPr>
              <w:t xml:space="preserve"> peatonal, semáforo ciclista , semáforo peatonal ciclista , semáforo ciclista, semáforo peatonal , </w:t>
            </w:r>
            <w:proofErr w:type="spellStart"/>
            <w:r w:rsidRPr="00D938AD">
              <w:rPr>
                <w:sz w:val="18"/>
                <w:szCs w:val="18"/>
              </w:rPr>
              <w:t>semaforo</w:t>
            </w:r>
            <w:proofErr w:type="spellEnd"/>
            <w:r w:rsidRPr="00D938AD">
              <w:rPr>
                <w:sz w:val="18"/>
                <w:szCs w:val="18"/>
              </w:rPr>
              <w:t xml:space="preserve"> vehicular, peatonal, ciclista,  semáforo </w:t>
            </w:r>
            <w:proofErr w:type="spellStart"/>
            <w:r w:rsidRPr="00D938AD">
              <w:rPr>
                <w:sz w:val="18"/>
                <w:szCs w:val="18"/>
              </w:rPr>
              <w:t>vehícular</w:t>
            </w:r>
            <w:proofErr w:type="spellEnd"/>
            <w:r w:rsidRPr="00D938AD">
              <w:rPr>
                <w:sz w:val="18"/>
                <w:szCs w:val="18"/>
              </w:rPr>
              <w:t xml:space="preserve"> y sonoros.</w:t>
            </w:r>
          </w:p>
        </w:tc>
      </w:tr>
    </w:tbl>
    <w:p w14:paraId="5E74577A" w14:textId="710EB1CD" w:rsidR="007B1C78" w:rsidRDefault="007B1C78"/>
    <w:tbl>
      <w:tblPr>
        <w:tblStyle w:val="afff2"/>
        <w:tblW w:w="13425"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13425"/>
      </w:tblGrid>
      <w:tr w:rsidR="00464642" w:rsidRPr="00D938AD" w14:paraId="15598F37" w14:textId="77777777" w:rsidTr="006025AD">
        <w:trPr>
          <w:trHeight w:val="420"/>
          <w:tblHeader/>
        </w:trPr>
        <w:tc>
          <w:tcPr>
            <w:tcW w:w="13425" w:type="dxa"/>
            <w:shd w:val="clear" w:color="auto" w:fill="2E74B5"/>
            <w:tcMar>
              <w:top w:w="100" w:type="dxa"/>
              <w:left w:w="100" w:type="dxa"/>
              <w:bottom w:w="100" w:type="dxa"/>
              <w:right w:w="100" w:type="dxa"/>
            </w:tcMar>
          </w:tcPr>
          <w:p w14:paraId="07442262" w14:textId="77777777" w:rsidR="00464642" w:rsidRDefault="00CC4F33" w:rsidP="00CC4F33">
            <w:pPr>
              <w:widowControl w:val="0"/>
              <w:spacing w:before="40" w:after="0" w:line="240" w:lineRule="auto"/>
              <w:jc w:val="center"/>
              <w:rPr>
                <w:color w:val="FFFFFF"/>
                <w:sz w:val="18"/>
                <w:szCs w:val="18"/>
              </w:rPr>
            </w:pPr>
            <w:r>
              <w:rPr>
                <w:color w:val="FFFFFF"/>
                <w:sz w:val="18"/>
                <w:szCs w:val="18"/>
              </w:rPr>
              <w:lastRenderedPageBreak/>
              <w:t xml:space="preserve">PROGRAMA 26: </w:t>
            </w:r>
            <w:r w:rsidRPr="00CC4F33">
              <w:rPr>
                <w:color w:val="FFFFFF"/>
                <w:sz w:val="18"/>
                <w:szCs w:val="18"/>
              </w:rPr>
              <w:t>Movilidad Sostenible</w:t>
            </w:r>
          </w:p>
          <w:p w14:paraId="6170F07D" w14:textId="77777777" w:rsidR="00CC4F33" w:rsidRDefault="00CC4F33" w:rsidP="00CC4F33">
            <w:pPr>
              <w:widowControl w:val="0"/>
              <w:spacing w:before="40" w:after="0" w:line="240" w:lineRule="auto"/>
              <w:rPr>
                <w:color w:val="FFFFFF"/>
                <w:sz w:val="18"/>
                <w:szCs w:val="18"/>
              </w:rPr>
            </w:pPr>
            <w:r>
              <w:rPr>
                <w:color w:val="FFFFFF"/>
                <w:sz w:val="18"/>
                <w:szCs w:val="18"/>
              </w:rPr>
              <w:t xml:space="preserve">7975: </w:t>
            </w:r>
            <w:r w:rsidRPr="00CC4F33">
              <w:rPr>
                <w:color w:val="FFFFFF"/>
                <w:sz w:val="18"/>
                <w:szCs w:val="18"/>
              </w:rPr>
              <w:t>Implementación de acciones para una movilidad sostenible, segura y confiable para Bogotá D.C.</w:t>
            </w:r>
          </w:p>
          <w:p w14:paraId="77DA8627" w14:textId="2C4DF1D5" w:rsidR="00CC4F33" w:rsidRPr="00D938AD" w:rsidRDefault="00CC4F33" w:rsidP="00CC4F33">
            <w:pPr>
              <w:widowControl w:val="0"/>
              <w:spacing w:before="40" w:after="0" w:line="240" w:lineRule="auto"/>
              <w:rPr>
                <w:color w:val="FFFFFF"/>
                <w:sz w:val="18"/>
                <w:szCs w:val="18"/>
              </w:rPr>
            </w:pPr>
            <w:r>
              <w:rPr>
                <w:color w:val="FFFFFF"/>
                <w:sz w:val="18"/>
                <w:szCs w:val="18"/>
              </w:rPr>
              <w:t xml:space="preserve">7998: </w:t>
            </w:r>
            <w:r w:rsidRPr="00CC4F33">
              <w:rPr>
                <w:color w:val="FFFFFF"/>
                <w:sz w:val="18"/>
                <w:szCs w:val="18"/>
              </w:rPr>
              <w:t xml:space="preserve">Fortalecimiento de la red de </w:t>
            </w:r>
            <w:proofErr w:type="spellStart"/>
            <w:r w:rsidRPr="00CC4F33">
              <w:rPr>
                <w:color w:val="FFFFFF"/>
                <w:sz w:val="18"/>
                <w:szCs w:val="18"/>
              </w:rPr>
              <w:t>cicloinfraestructura</w:t>
            </w:r>
            <w:proofErr w:type="spellEnd"/>
            <w:r w:rsidRPr="00CC4F33">
              <w:rPr>
                <w:color w:val="FFFFFF"/>
                <w:sz w:val="18"/>
                <w:szCs w:val="18"/>
              </w:rPr>
              <w:t xml:space="preserve"> en la ciudad de Bogotá D.C.</w:t>
            </w:r>
          </w:p>
        </w:tc>
      </w:tr>
    </w:tbl>
    <w:p w14:paraId="15CEB9E6" w14:textId="4D54BCB6" w:rsidR="00027F0D" w:rsidRDefault="00027F0D" w:rsidP="00CC4F33">
      <w:pPr>
        <w:widowControl w:val="0"/>
        <w:spacing w:before="40" w:after="0" w:line="240" w:lineRule="auto"/>
        <w:jc w:val="center"/>
        <w:rPr>
          <w:color w:val="FFFFFF"/>
          <w:sz w:val="18"/>
          <w:szCs w:val="18"/>
        </w:rPr>
      </w:pPr>
    </w:p>
    <w:tbl>
      <w:tblPr>
        <w:tblStyle w:val="afff2"/>
        <w:tblW w:w="13425"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1665"/>
        <w:gridCol w:w="1440"/>
        <w:gridCol w:w="1350"/>
        <w:gridCol w:w="1605"/>
        <w:gridCol w:w="7365"/>
      </w:tblGrid>
      <w:tr w:rsidR="00464642" w:rsidRPr="00D938AD" w14:paraId="22A1073D" w14:textId="77777777" w:rsidTr="006025AD">
        <w:trPr>
          <w:trHeight w:val="420"/>
          <w:tblHeader/>
        </w:trPr>
        <w:tc>
          <w:tcPr>
            <w:tcW w:w="1665" w:type="dxa"/>
            <w:shd w:val="clear" w:color="auto" w:fill="DBE5F1"/>
            <w:tcMar>
              <w:top w:w="100" w:type="dxa"/>
              <w:left w:w="100" w:type="dxa"/>
              <w:bottom w:w="100" w:type="dxa"/>
              <w:right w:w="100" w:type="dxa"/>
            </w:tcMar>
          </w:tcPr>
          <w:p w14:paraId="27D7ED00" w14:textId="1EABAF25" w:rsidR="00464642" w:rsidRPr="00D938AD" w:rsidRDefault="00416049">
            <w:pPr>
              <w:widowControl w:val="0"/>
              <w:spacing w:after="0" w:line="240" w:lineRule="auto"/>
              <w:jc w:val="center"/>
              <w:rPr>
                <w:b/>
                <w:sz w:val="18"/>
                <w:szCs w:val="18"/>
              </w:rPr>
            </w:pPr>
            <w:r w:rsidRPr="00D938AD">
              <w:rPr>
                <w:b/>
                <w:sz w:val="18"/>
                <w:szCs w:val="18"/>
              </w:rPr>
              <w:t>Meta</w:t>
            </w:r>
          </w:p>
        </w:tc>
        <w:tc>
          <w:tcPr>
            <w:tcW w:w="1440" w:type="dxa"/>
            <w:shd w:val="clear" w:color="auto" w:fill="DBE5F1"/>
            <w:tcMar>
              <w:top w:w="100" w:type="dxa"/>
              <w:left w:w="100" w:type="dxa"/>
              <w:bottom w:w="100" w:type="dxa"/>
              <w:right w:w="100" w:type="dxa"/>
            </w:tcMar>
          </w:tcPr>
          <w:p w14:paraId="21ABDF6F" w14:textId="77777777" w:rsidR="00464642" w:rsidRPr="00D938AD" w:rsidRDefault="00416049">
            <w:pPr>
              <w:widowControl w:val="0"/>
              <w:spacing w:after="0" w:line="240" w:lineRule="auto"/>
              <w:jc w:val="center"/>
              <w:rPr>
                <w:b/>
                <w:sz w:val="18"/>
                <w:szCs w:val="18"/>
              </w:rPr>
            </w:pPr>
            <w:r w:rsidRPr="00D938AD">
              <w:rPr>
                <w:b/>
                <w:sz w:val="18"/>
                <w:szCs w:val="18"/>
              </w:rPr>
              <w:t>Magnitud</w:t>
            </w:r>
          </w:p>
          <w:p w14:paraId="59A77545" w14:textId="77777777" w:rsidR="00464642" w:rsidRPr="00D938AD" w:rsidRDefault="00416049">
            <w:pPr>
              <w:widowControl w:val="0"/>
              <w:spacing w:after="0" w:line="240" w:lineRule="auto"/>
              <w:jc w:val="center"/>
              <w:rPr>
                <w:b/>
                <w:sz w:val="18"/>
                <w:szCs w:val="18"/>
              </w:rPr>
            </w:pPr>
            <w:r w:rsidRPr="00D938AD">
              <w:rPr>
                <w:b/>
                <w:sz w:val="18"/>
                <w:szCs w:val="18"/>
              </w:rPr>
              <w:t>Programada</w:t>
            </w:r>
          </w:p>
        </w:tc>
        <w:tc>
          <w:tcPr>
            <w:tcW w:w="1350" w:type="dxa"/>
            <w:shd w:val="clear" w:color="auto" w:fill="DBE5F1"/>
            <w:tcMar>
              <w:top w:w="100" w:type="dxa"/>
              <w:left w:w="100" w:type="dxa"/>
              <w:bottom w:w="100" w:type="dxa"/>
              <w:right w:w="100" w:type="dxa"/>
            </w:tcMar>
          </w:tcPr>
          <w:p w14:paraId="084AD101" w14:textId="77777777" w:rsidR="00464642" w:rsidRPr="00D938AD" w:rsidRDefault="00416049">
            <w:pPr>
              <w:widowControl w:val="0"/>
              <w:spacing w:after="0" w:line="240" w:lineRule="auto"/>
              <w:jc w:val="center"/>
              <w:rPr>
                <w:b/>
                <w:sz w:val="18"/>
                <w:szCs w:val="18"/>
              </w:rPr>
            </w:pPr>
            <w:r w:rsidRPr="00D938AD">
              <w:rPr>
                <w:b/>
                <w:sz w:val="18"/>
                <w:szCs w:val="18"/>
              </w:rPr>
              <w:t xml:space="preserve">Magnitud </w:t>
            </w:r>
          </w:p>
          <w:p w14:paraId="3940CD49" w14:textId="77777777" w:rsidR="00464642" w:rsidRPr="00D938AD" w:rsidRDefault="00416049">
            <w:pPr>
              <w:widowControl w:val="0"/>
              <w:spacing w:after="0" w:line="240" w:lineRule="auto"/>
              <w:jc w:val="center"/>
              <w:rPr>
                <w:b/>
                <w:sz w:val="18"/>
                <w:szCs w:val="18"/>
              </w:rPr>
            </w:pPr>
            <w:r w:rsidRPr="00D938AD">
              <w:rPr>
                <w:b/>
                <w:sz w:val="18"/>
                <w:szCs w:val="18"/>
              </w:rPr>
              <w:t>Ejecutada</w:t>
            </w:r>
          </w:p>
        </w:tc>
        <w:tc>
          <w:tcPr>
            <w:tcW w:w="1605" w:type="dxa"/>
            <w:shd w:val="clear" w:color="auto" w:fill="DBE5F1"/>
            <w:tcMar>
              <w:top w:w="100" w:type="dxa"/>
              <w:left w:w="100" w:type="dxa"/>
              <w:bottom w:w="100" w:type="dxa"/>
              <w:right w:w="100" w:type="dxa"/>
            </w:tcMar>
          </w:tcPr>
          <w:p w14:paraId="06102CA9" w14:textId="77777777" w:rsidR="00464642" w:rsidRPr="00D938AD" w:rsidRDefault="00416049">
            <w:pPr>
              <w:widowControl w:val="0"/>
              <w:spacing w:after="0" w:line="240" w:lineRule="auto"/>
              <w:jc w:val="center"/>
              <w:rPr>
                <w:b/>
                <w:sz w:val="18"/>
                <w:szCs w:val="18"/>
              </w:rPr>
            </w:pPr>
            <w:r w:rsidRPr="00D938AD">
              <w:rPr>
                <w:b/>
                <w:sz w:val="18"/>
                <w:szCs w:val="18"/>
              </w:rPr>
              <w:t>% de Cumplimiento</w:t>
            </w:r>
          </w:p>
        </w:tc>
        <w:tc>
          <w:tcPr>
            <w:tcW w:w="7365" w:type="dxa"/>
            <w:shd w:val="clear" w:color="auto" w:fill="DBE5F1"/>
            <w:tcMar>
              <w:top w:w="100" w:type="dxa"/>
              <w:left w:w="100" w:type="dxa"/>
              <w:bottom w:w="100" w:type="dxa"/>
              <w:right w:w="100" w:type="dxa"/>
            </w:tcMar>
          </w:tcPr>
          <w:p w14:paraId="358DF948" w14:textId="77777777" w:rsidR="00464642" w:rsidRPr="00D938AD" w:rsidRDefault="00416049">
            <w:pPr>
              <w:widowControl w:val="0"/>
              <w:spacing w:after="0" w:line="240" w:lineRule="auto"/>
              <w:jc w:val="center"/>
              <w:rPr>
                <w:b/>
                <w:sz w:val="18"/>
                <w:szCs w:val="18"/>
              </w:rPr>
            </w:pPr>
            <w:r w:rsidRPr="00D938AD">
              <w:rPr>
                <w:b/>
                <w:sz w:val="18"/>
                <w:szCs w:val="18"/>
              </w:rPr>
              <w:t>Logros, Avances y Dificultades</w:t>
            </w:r>
          </w:p>
        </w:tc>
      </w:tr>
      <w:tr w:rsidR="00464642" w:rsidRPr="00D938AD" w14:paraId="721AC6E3" w14:textId="77777777" w:rsidTr="006025AD">
        <w:trPr>
          <w:trHeight w:val="420"/>
        </w:trPr>
        <w:tc>
          <w:tcPr>
            <w:tcW w:w="1665" w:type="dxa"/>
            <w:shd w:val="clear" w:color="auto" w:fill="EBF1DD"/>
            <w:tcMar>
              <w:top w:w="100" w:type="dxa"/>
              <w:left w:w="100" w:type="dxa"/>
              <w:bottom w:w="100" w:type="dxa"/>
              <w:right w:w="100" w:type="dxa"/>
            </w:tcMar>
          </w:tcPr>
          <w:p w14:paraId="51CB9D41" w14:textId="77777777" w:rsidR="00464642" w:rsidRPr="00D938AD" w:rsidRDefault="00416049">
            <w:pPr>
              <w:widowControl w:val="0"/>
              <w:spacing w:after="0" w:line="240" w:lineRule="auto"/>
              <w:rPr>
                <w:sz w:val="18"/>
                <w:szCs w:val="18"/>
              </w:rPr>
            </w:pPr>
            <w:r w:rsidRPr="00D938AD">
              <w:rPr>
                <w:sz w:val="18"/>
                <w:szCs w:val="18"/>
              </w:rPr>
              <w:t>2208</w:t>
            </w:r>
          </w:p>
        </w:tc>
        <w:tc>
          <w:tcPr>
            <w:tcW w:w="1440" w:type="dxa"/>
            <w:shd w:val="clear" w:color="auto" w:fill="EBF1DD"/>
            <w:tcMar>
              <w:top w:w="100" w:type="dxa"/>
              <w:left w:w="100" w:type="dxa"/>
              <w:bottom w:w="100" w:type="dxa"/>
              <w:right w:w="100" w:type="dxa"/>
            </w:tcMar>
          </w:tcPr>
          <w:p w14:paraId="0B5CB9B0" w14:textId="77777777" w:rsidR="00464642" w:rsidRPr="00D938AD" w:rsidRDefault="00416049">
            <w:pPr>
              <w:widowControl w:val="0"/>
              <w:spacing w:after="0" w:line="240" w:lineRule="auto"/>
              <w:jc w:val="center"/>
              <w:rPr>
                <w:sz w:val="18"/>
                <w:szCs w:val="18"/>
              </w:rPr>
            </w:pPr>
            <w:r w:rsidRPr="00D938AD">
              <w:rPr>
                <w:sz w:val="18"/>
                <w:szCs w:val="18"/>
              </w:rPr>
              <w:t>0.1</w:t>
            </w:r>
          </w:p>
        </w:tc>
        <w:tc>
          <w:tcPr>
            <w:tcW w:w="1350" w:type="dxa"/>
            <w:shd w:val="clear" w:color="auto" w:fill="EBF1DD"/>
            <w:tcMar>
              <w:top w:w="100" w:type="dxa"/>
              <w:left w:w="100" w:type="dxa"/>
              <w:bottom w:w="100" w:type="dxa"/>
              <w:right w:w="100" w:type="dxa"/>
            </w:tcMar>
          </w:tcPr>
          <w:p w14:paraId="7F4C5047" w14:textId="77777777" w:rsidR="00464642" w:rsidRPr="00D938AD" w:rsidRDefault="00416049">
            <w:pPr>
              <w:widowControl w:val="0"/>
              <w:spacing w:after="0" w:line="240" w:lineRule="auto"/>
              <w:jc w:val="center"/>
              <w:rPr>
                <w:sz w:val="18"/>
                <w:szCs w:val="18"/>
              </w:rPr>
            </w:pPr>
            <w:r w:rsidRPr="00D938AD">
              <w:rPr>
                <w:sz w:val="18"/>
                <w:szCs w:val="18"/>
              </w:rPr>
              <w:t>0.1</w:t>
            </w:r>
          </w:p>
        </w:tc>
        <w:tc>
          <w:tcPr>
            <w:tcW w:w="1605" w:type="dxa"/>
            <w:shd w:val="clear" w:color="auto" w:fill="EBF1DD"/>
            <w:tcMar>
              <w:top w:w="100" w:type="dxa"/>
              <w:left w:w="100" w:type="dxa"/>
              <w:bottom w:w="100" w:type="dxa"/>
              <w:right w:w="100" w:type="dxa"/>
            </w:tcMar>
          </w:tcPr>
          <w:p w14:paraId="2DB0AE9A" w14:textId="77777777" w:rsidR="00464642" w:rsidRPr="00D938AD" w:rsidRDefault="00416049">
            <w:pPr>
              <w:widowControl w:val="0"/>
              <w:spacing w:after="0" w:line="240" w:lineRule="auto"/>
              <w:jc w:val="center"/>
              <w:rPr>
                <w:sz w:val="18"/>
                <w:szCs w:val="18"/>
              </w:rPr>
            </w:pPr>
            <w:r w:rsidRPr="00D938AD">
              <w:rPr>
                <w:sz w:val="18"/>
                <w:szCs w:val="18"/>
              </w:rPr>
              <w:t>100%</w:t>
            </w:r>
          </w:p>
        </w:tc>
        <w:tc>
          <w:tcPr>
            <w:tcW w:w="7365" w:type="dxa"/>
            <w:shd w:val="clear" w:color="auto" w:fill="EBF1DD"/>
            <w:tcMar>
              <w:top w:w="100" w:type="dxa"/>
              <w:left w:w="100" w:type="dxa"/>
              <w:bottom w:w="100" w:type="dxa"/>
              <w:right w:w="100" w:type="dxa"/>
            </w:tcMar>
          </w:tcPr>
          <w:p w14:paraId="6E2718B1" w14:textId="77777777" w:rsidR="00464642" w:rsidRPr="00D938AD" w:rsidRDefault="00416049">
            <w:pPr>
              <w:widowControl w:val="0"/>
              <w:spacing w:after="0" w:line="240" w:lineRule="auto"/>
              <w:jc w:val="both"/>
              <w:rPr>
                <w:sz w:val="18"/>
                <w:szCs w:val="18"/>
              </w:rPr>
            </w:pPr>
            <w:r w:rsidRPr="00D938AD">
              <w:rPr>
                <w:sz w:val="18"/>
                <w:szCs w:val="18"/>
              </w:rPr>
              <w:t>En el 2024 como avance en la implementación de la estrategia se adelantó un diagnóstico de la infraestructura de recarga pública de Bogotá y actualizó la información geográfica de las estaciones de recarga de vehículos eléctricos. Se identificaron más de 180 cargadores de acceso público para una oferta aproximada de más de 3.800 kW de potencia instalada en Bogotá.</w:t>
            </w:r>
          </w:p>
          <w:p w14:paraId="6CEB3AD4" w14:textId="77777777" w:rsidR="00464642" w:rsidRPr="00D938AD" w:rsidRDefault="00416049">
            <w:pPr>
              <w:widowControl w:val="0"/>
              <w:spacing w:after="0" w:line="240" w:lineRule="auto"/>
              <w:jc w:val="both"/>
              <w:rPr>
                <w:sz w:val="18"/>
                <w:szCs w:val="18"/>
              </w:rPr>
            </w:pPr>
            <w:r w:rsidRPr="00D938AD">
              <w:rPr>
                <w:sz w:val="18"/>
                <w:szCs w:val="18"/>
              </w:rPr>
              <w:t>- Se realizó estudio de mercado para identificar el precio de venta de las estaciones de carga de acceso público, con base en la información reportada en la plataforma oficial CARGAME del Ministerio de Minas y Energía.</w:t>
            </w:r>
          </w:p>
          <w:p w14:paraId="173CD306" w14:textId="77777777" w:rsidR="00464642" w:rsidRPr="00D938AD" w:rsidRDefault="00416049">
            <w:pPr>
              <w:widowControl w:val="0"/>
              <w:spacing w:after="0" w:line="240" w:lineRule="auto"/>
              <w:jc w:val="both"/>
              <w:rPr>
                <w:sz w:val="18"/>
                <w:szCs w:val="18"/>
              </w:rPr>
            </w:pPr>
            <w:r w:rsidRPr="00D938AD">
              <w:rPr>
                <w:sz w:val="18"/>
                <w:szCs w:val="18"/>
              </w:rPr>
              <w:t>- Se realizó análisis de oportunidades con el Instituto Distrital de Recreación y Deporte-IDRD para dar continuidad a la operación de las estaciones de carga de vehículos eléctricos bajo el marco normativo del aprovechamiento económico del espacio público.</w:t>
            </w:r>
          </w:p>
          <w:p w14:paraId="13785856" w14:textId="77777777" w:rsidR="00464642" w:rsidRPr="00D938AD" w:rsidRDefault="00416049">
            <w:pPr>
              <w:widowControl w:val="0"/>
              <w:spacing w:after="0" w:line="240" w:lineRule="auto"/>
              <w:jc w:val="both"/>
              <w:rPr>
                <w:sz w:val="18"/>
                <w:szCs w:val="18"/>
              </w:rPr>
            </w:pPr>
            <w:r w:rsidRPr="00D938AD">
              <w:rPr>
                <w:sz w:val="18"/>
                <w:szCs w:val="18"/>
              </w:rPr>
              <w:t>La SDM adelanta seguimiento al contrato interadministrativo suscrito con la Operadora Distrital de Transporte S.A.S que tiene como objeto “CONTRATAR LA ADMINISTRACIÓN, MANTENIMIENTO Y</w:t>
            </w:r>
          </w:p>
          <w:p w14:paraId="0AE195D7" w14:textId="77777777" w:rsidR="00464642" w:rsidRPr="00D938AD" w:rsidRDefault="00416049">
            <w:pPr>
              <w:widowControl w:val="0"/>
              <w:spacing w:after="0" w:line="240" w:lineRule="auto"/>
              <w:jc w:val="both"/>
              <w:rPr>
                <w:sz w:val="18"/>
                <w:szCs w:val="18"/>
              </w:rPr>
            </w:pPr>
            <w:r w:rsidRPr="00D938AD">
              <w:rPr>
                <w:sz w:val="18"/>
                <w:szCs w:val="18"/>
              </w:rPr>
              <w:t>APROVECHAMIENTO ECONÓMICO DE ESPACIOS PARA DESARROLLAR LA ACTIVIDAD DE RECARGA DE VEHÍCULOS ELÉCTRICOS, SUJETO A SU PRESERVACIÓN, BUEN USO, DISFRUTE COLECTIVO Y SOSTENIBILIDAD”, con lo cual se aporta a la estrategia con los siguientes resultados:</w:t>
            </w:r>
          </w:p>
          <w:p w14:paraId="0B3E0E3C" w14:textId="77777777" w:rsidR="00464642" w:rsidRPr="00D938AD" w:rsidRDefault="00416049">
            <w:pPr>
              <w:widowControl w:val="0"/>
              <w:spacing w:after="0" w:line="240" w:lineRule="auto"/>
              <w:jc w:val="both"/>
              <w:rPr>
                <w:sz w:val="18"/>
                <w:szCs w:val="18"/>
              </w:rPr>
            </w:pPr>
            <w:r w:rsidRPr="00D938AD">
              <w:rPr>
                <w:sz w:val="18"/>
                <w:szCs w:val="18"/>
              </w:rPr>
              <w:t>-A corte al 30 de noviembre de 2024 se han realizado más de 29.000 recargas de vehículos eléctricos</w:t>
            </w:r>
          </w:p>
          <w:p w14:paraId="66B4BEF4" w14:textId="77777777" w:rsidR="00464642" w:rsidRPr="00D938AD" w:rsidRDefault="00416049">
            <w:pPr>
              <w:widowControl w:val="0"/>
              <w:spacing w:after="0" w:line="240" w:lineRule="auto"/>
              <w:jc w:val="both"/>
              <w:rPr>
                <w:sz w:val="18"/>
                <w:szCs w:val="18"/>
              </w:rPr>
            </w:pPr>
            <w:r w:rsidRPr="00D938AD">
              <w:rPr>
                <w:sz w:val="18"/>
                <w:szCs w:val="18"/>
              </w:rPr>
              <w:t xml:space="preserve">-Se han entregado más de 660.000 kWh de energía eléctrica a través de la prestación del servicio. </w:t>
            </w:r>
          </w:p>
          <w:p w14:paraId="3F0E8875" w14:textId="77777777" w:rsidR="00464642" w:rsidRPr="00D938AD" w:rsidRDefault="00416049">
            <w:pPr>
              <w:widowControl w:val="0"/>
              <w:spacing w:after="0" w:line="240" w:lineRule="auto"/>
              <w:jc w:val="both"/>
              <w:rPr>
                <w:sz w:val="18"/>
                <w:szCs w:val="18"/>
              </w:rPr>
            </w:pPr>
            <w:r w:rsidRPr="00D938AD">
              <w:rPr>
                <w:sz w:val="18"/>
                <w:szCs w:val="18"/>
              </w:rPr>
              <w:t>-De acuerdo con las encuestas realizadas a usuarios de la red se registra un porcentaje de satisfacción del 86% en el uso de esta infraestructura.</w:t>
            </w:r>
          </w:p>
          <w:p w14:paraId="2BFF0976" w14:textId="5409E27B" w:rsidR="00464642" w:rsidRPr="00D938AD" w:rsidRDefault="00416049" w:rsidP="007B1C78">
            <w:pPr>
              <w:widowControl w:val="0"/>
              <w:spacing w:after="0" w:line="240" w:lineRule="auto"/>
              <w:jc w:val="both"/>
              <w:rPr>
                <w:sz w:val="18"/>
                <w:szCs w:val="18"/>
              </w:rPr>
            </w:pPr>
            <w:r w:rsidRPr="00D938AD">
              <w:rPr>
                <w:sz w:val="18"/>
                <w:szCs w:val="18"/>
              </w:rPr>
              <w:t xml:space="preserve">- Se realizó la articulación con </w:t>
            </w:r>
            <w:proofErr w:type="spellStart"/>
            <w:r w:rsidRPr="00D938AD">
              <w:rPr>
                <w:sz w:val="18"/>
                <w:szCs w:val="18"/>
              </w:rPr>
              <w:t>Enerlink</w:t>
            </w:r>
            <w:proofErr w:type="spellEnd"/>
            <w:r w:rsidRPr="00D938AD">
              <w:rPr>
                <w:sz w:val="18"/>
                <w:szCs w:val="18"/>
              </w:rPr>
              <w:t xml:space="preserve"> (el nuevo prestador del servicio tecnológico de la Operadora Distrital de Transporte), para lograr la transmisión de datos operacionales de los cargadores, con el nuevo desarrollo tecnológico de los servicios de intercambio de datos e información.</w:t>
            </w:r>
          </w:p>
        </w:tc>
      </w:tr>
      <w:tr w:rsidR="007B1C78" w:rsidRPr="00D938AD" w14:paraId="7AD281B9" w14:textId="77777777" w:rsidTr="006025AD">
        <w:trPr>
          <w:trHeight w:val="420"/>
        </w:trPr>
        <w:tc>
          <w:tcPr>
            <w:tcW w:w="1665" w:type="dxa"/>
            <w:shd w:val="clear" w:color="auto" w:fill="DBE5F1" w:themeFill="accent1" w:themeFillTint="33"/>
            <w:tcMar>
              <w:top w:w="100" w:type="dxa"/>
              <w:left w:w="100" w:type="dxa"/>
              <w:bottom w:w="100" w:type="dxa"/>
              <w:right w:w="100" w:type="dxa"/>
            </w:tcMar>
          </w:tcPr>
          <w:p w14:paraId="5532F804" w14:textId="2365E482" w:rsidR="007B1C78" w:rsidRPr="00D938AD" w:rsidRDefault="007B1C78" w:rsidP="007B1C78">
            <w:pPr>
              <w:widowControl w:val="0"/>
              <w:spacing w:after="0" w:line="240" w:lineRule="auto"/>
              <w:rPr>
                <w:sz w:val="18"/>
                <w:szCs w:val="18"/>
              </w:rPr>
            </w:pPr>
            <w:r>
              <w:rPr>
                <w:sz w:val="20"/>
                <w:szCs w:val="20"/>
              </w:rPr>
              <w:t>2203</w:t>
            </w:r>
          </w:p>
        </w:tc>
        <w:tc>
          <w:tcPr>
            <w:tcW w:w="1440" w:type="dxa"/>
            <w:shd w:val="clear" w:color="auto" w:fill="DBE5F1" w:themeFill="accent1" w:themeFillTint="33"/>
            <w:tcMar>
              <w:top w:w="100" w:type="dxa"/>
              <w:left w:w="100" w:type="dxa"/>
              <w:bottom w:w="100" w:type="dxa"/>
              <w:right w:w="100" w:type="dxa"/>
            </w:tcMar>
          </w:tcPr>
          <w:p w14:paraId="1F618F57" w14:textId="16FC252C" w:rsidR="007B1C78" w:rsidRPr="00D938AD" w:rsidRDefault="007B1C78" w:rsidP="007B1C78">
            <w:pPr>
              <w:widowControl w:val="0"/>
              <w:spacing w:after="0" w:line="240" w:lineRule="auto"/>
              <w:jc w:val="center"/>
              <w:rPr>
                <w:sz w:val="18"/>
                <w:szCs w:val="18"/>
              </w:rPr>
            </w:pPr>
            <w:r>
              <w:rPr>
                <w:sz w:val="18"/>
                <w:szCs w:val="18"/>
              </w:rPr>
              <w:t>1.46</w:t>
            </w:r>
          </w:p>
        </w:tc>
        <w:tc>
          <w:tcPr>
            <w:tcW w:w="1350" w:type="dxa"/>
            <w:shd w:val="clear" w:color="auto" w:fill="DBE5F1" w:themeFill="accent1" w:themeFillTint="33"/>
            <w:tcMar>
              <w:top w:w="100" w:type="dxa"/>
              <w:left w:w="100" w:type="dxa"/>
              <w:bottom w:w="100" w:type="dxa"/>
              <w:right w:w="100" w:type="dxa"/>
            </w:tcMar>
          </w:tcPr>
          <w:p w14:paraId="7CC4C6EE" w14:textId="622AD513" w:rsidR="007B1C78" w:rsidRPr="00D938AD" w:rsidRDefault="007B1C78" w:rsidP="007B1C78">
            <w:pPr>
              <w:widowControl w:val="0"/>
              <w:spacing w:after="0" w:line="240" w:lineRule="auto"/>
              <w:jc w:val="center"/>
              <w:rPr>
                <w:sz w:val="18"/>
                <w:szCs w:val="18"/>
              </w:rPr>
            </w:pPr>
            <w:r>
              <w:rPr>
                <w:sz w:val="18"/>
                <w:szCs w:val="18"/>
              </w:rPr>
              <w:t>1.46</w:t>
            </w:r>
          </w:p>
        </w:tc>
        <w:tc>
          <w:tcPr>
            <w:tcW w:w="1605" w:type="dxa"/>
            <w:shd w:val="clear" w:color="auto" w:fill="DBE5F1" w:themeFill="accent1" w:themeFillTint="33"/>
            <w:tcMar>
              <w:top w:w="100" w:type="dxa"/>
              <w:left w:w="100" w:type="dxa"/>
              <w:bottom w:w="100" w:type="dxa"/>
              <w:right w:w="100" w:type="dxa"/>
            </w:tcMar>
          </w:tcPr>
          <w:p w14:paraId="24109FDC" w14:textId="203D120F" w:rsidR="007B1C78" w:rsidRPr="00D938AD" w:rsidRDefault="007B1C78" w:rsidP="007B1C78">
            <w:pPr>
              <w:widowControl w:val="0"/>
              <w:spacing w:after="0" w:line="240" w:lineRule="auto"/>
              <w:jc w:val="center"/>
              <w:rPr>
                <w:sz w:val="18"/>
                <w:szCs w:val="18"/>
              </w:rPr>
            </w:pPr>
            <w:r>
              <w:rPr>
                <w:sz w:val="18"/>
                <w:szCs w:val="18"/>
              </w:rPr>
              <w:t>100%</w:t>
            </w:r>
          </w:p>
        </w:tc>
        <w:tc>
          <w:tcPr>
            <w:tcW w:w="7365" w:type="dxa"/>
            <w:shd w:val="clear" w:color="auto" w:fill="DBE5F1" w:themeFill="accent1" w:themeFillTint="33"/>
            <w:tcMar>
              <w:top w:w="100" w:type="dxa"/>
              <w:left w:w="100" w:type="dxa"/>
              <w:bottom w:w="100" w:type="dxa"/>
              <w:right w:w="100" w:type="dxa"/>
            </w:tcMar>
          </w:tcPr>
          <w:p w14:paraId="61EA84A4" w14:textId="77777777" w:rsidR="007B1C78" w:rsidRDefault="007B1C78" w:rsidP="007B1C78">
            <w:pPr>
              <w:widowControl w:val="0"/>
              <w:spacing w:after="0" w:line="240" w:lineRule="auto"/>
              <w:jc w:val="both"/>
              <w:rPr>
                <w:sz w:val="18"/>
                <w:szCs w:val="18"/>
              </w:rPr>
            </w:pPr>
            <w:r>
              <w:rPr>
                <w:sz w:val="18"/>
                <w:szCs w:val="18"/>
              </w:rPr>
              <w:t xml:space="preserve">En lo transcurrido de la vigencia 2024 del PDD 7998  se realizó la implementación de 1,46 km de </w:t>
            </w:r>
            <w:r>
              <w:rPr>
                <w:sz w:val="18"/>
                <w:szCs w:val="18"/>
              </w:rPr>
              <w:lastRenderedPageBreak/>
              <w:t xml:space="preserve">ciclorruta, esta actividad se ejecutó en la localidad de Barrios Unidos, con la ciclorruta ubicada en  KR28 ENTRE CL71 A CL71B; dicha implementación tuvo lugar en el tercer trimestre pero se dio recibo a satisfacción de la obra en el cuarto trimestre y por tal motivo no se reporta sino hasta este momento; adicionalmente en la actualidad se está a la espera de la adjudicación de los contratos por zonas que se encargarán de realizar la construcción de los kilómetros lineales de la red de </w:t>
            </w:r>
            <w:proofErr w:type="spellStart"/>
            <w:r>
              <w:rPr>
                <w:sz w:val="18"/>
                <w:szCs w:val="18"/>
              </w:rPr>
              <w:t>cilcoinfraestructura</w:t>
            </w:r>
            <w:proofErr w:type="spellEnd"/>
            <w:r>
              <w:rPr>
                <w:sz w:val="18"/>
                <w:szCs w:val="18"/>
              </w:rPr>
              <w:t xml:space="preserve"> definida como meta para lo que resta del PDD pues se trata de contratos con vigencias futuras de manera que no habrá tiempos muertos sin ejecución entre cambios de vigencia, permitiendo un mejor desarrollo de las actividades para el cumplimiento de la meta.</w:t>
            </w:r>
          </w:p>
          <w:p w14:paraId="2CD17717" w14:textId="7CEF7472" w:rsidR="007B1C78" w:rsidRPr="00D938AD" w:rsidRDefault="007B1C78" w:rsidP="007B1C78">
            <w:pPr>
              <w:widowControl w:val="0"/>
              <w:spacing w:after="0" w:line="240" w:lineRule="auto"/>
              <w:jc w:val="both"/>
              <w:rPr>
                <w:sz w:val="18"/>
                <w:szCs w:val="18"/>
              </w:rPr>
            </w:pPr>
            <w:r>
              <w:rPr>
                <w:sz w:val="18"/>
                <w:szCs w:val="18"/>
              </w:rPr>
              <w:t xml:space="preserve">Los mantenimientos y las nuevas implementaciones de kilómetros carril de </w:t>
            </w:r>
            <w:proofErr w:type="spellStart"/>
            <w:r>
              <w:rPr>
                <w:sz w:val="18"/>
                <w:szCs w:val="18"/>
              </w:rPr>
              <w:t>cicloinfraestructura</w:t>
            </w:r>
            <w:proofErr w:type="spellEnd"/>
            <w:r>
              <w:rPr>
                <w:sz w:val="18"/>
                <w:szCs w:val="18"/>
              </w:rPr>
              <w:t xml:space="preserve"> de la ciudad no solo beneficiaron a los ciclistas que las transitan sino también a los demás actores viales; pues dichas instalaciones al igual que la señalización mejora la visibilidad de las </w:t>
            </w:r>
            <w:proofErr w:type="spellStart"/>
            <w:r>
              <w:rPr>
                <w:sz w:val="18"/>
                <w:szCs w:val="18"/>
              </w:rPr>
              <w:t>ciclorutas</w:t>
            </w:r>
            <w:proofErr w:type="spellEnd"/>
            <w:r>
              <w:rPr>
                <w:sz w:val="18"/>
                <w:szCs w:val="18"/>
              </w:rPr>
              <w:t xml:space="preserve"> o los </w:t>
            </w:r>
            <w:proofErr w:type="spellStart"/>
            <w:r>
              <w:rPr>
                <w:sz w:val="18"/>
                <w:szCs w:val="18"/>
              </w:rPr>
              <w:t>bicicarriles</w:t>
            </w:r>
            <w:proofErr w:type="spellEnd"/>
            <w:r>
              <w:rPr>
                <w:sz w:val="18"/>
                <w:szCs w:val="18"/>
              </w:rPr>
              <w:t xml:space="preserve"> priorizando la seguridad vial de los actores más vulnerables como resultan ser los peatones que las encuentran en sus recorridos por las vías de la ciudad ya sea sobre calzada o en andén (</w:t>
            </w:r>
            <w:proofErr w:type="spellStart"/>
            <w:r>
              <w:rPr>
                <w:sz w:val="18"/>
                <w:szCs w:val="18"/>
              </w:rPr>
              <w:t>Bicicarril</w:t>
            </w:r>
            <w:proofErr w:type="spellEnd"/>
            <w:r>
              <w:rPr>
                <w:sz w:val="18"/>
                <w:szCs w:val="18"/>
              </w:rPr>
              <w:t xml:space="preserve"> o </w:t>
            </w:r>
            <w:proofErr w:type="spellStart"/>
            <w:r>
              <w:rPr>
                <w:sz w:val="18"/>
                <w:szCs w:val="18"/>
              </w:rPr>
              <w:t>Cicloruta</w:t>
            </w:r>
            <w:proofErr w:type="spellEnd"/>
            <w:r>
              <w:rPr>
                <w:sz w:val="18"/>
                <w:szCs w:val="18"/>
              </w:rPr>
              <w:t>) y los conductores que las cruzan en las vías de la ciudad.</w:t>
            </w:r>
          </w:p>
        </w:tc>
      </w:tr>
      <w:tr w:rsidR="007B1C78" w:rsidRPr="00D938AD" w14:paraId="78DDB83B" w14:textId="77777777" w:rsidTr="006025AD">
        <w:trPr>
          <w:trHeight w:val="420"/>
        </w:trPr>
        <w:tc>
          <w:tcPr>
            <w:tcW w:w="1665" w:type="dxa"/>
            <w:shd w:val="clear" w:color="auto" w:fill="EAF1DD" w:themeFill="accent3" w:themeFillTint="33"/>
            <w:tcMar>
              <w:top w:w="100" w:type="dxa"/>
              <w:left w:w="100" w:type="dxa"/>
              <w:bottom w:w="100" w:type="dxa"/>
              <w:right w:w="100" w:type="dxa"/>
            </w:tcMar>
          </w:tcPr>
          <w:p w14:paraId="084CD633" w14:textId="77777777" w:rsidR="007B1C78" w:rsidRPr="00D938AD" w:rsidRDefault="007B1C78" w:rsidP="007B1C78">
            <w:pPr>
              <w:widowControl w:val="0"/>
              <w:spacing w:after="0" w:line="240" w:lineRule="auto"/>
              <w:rPr>
                <w:sz w:val="18"/>
                <w:szCs w:val="18"/>
              </w:rPr>
            </w:pPr>
            <w:r w:rsidRPr="00D938AD">
              <w:rPr>
                <w:sz w:val="18"/>
                <w:szCs w:val="18"/>
              </w:rPr>
              <w:lastRenderedPageBreak/>
              <w:t>2217</w:t>
            </w:r>
          </w:p>
        </w:tc>
        <w:tc>
          <w:tcPr>
            <w:tcW w:w="1440" w:type="dxa"/>
            <w:shd w:val="clear" w:color="auto" w:fill="EAF1DD" w:themeFill="accent3" w:themeFillTint="33"/>
            <w:tcMar>
              <w:top w:w="100" w:type="dxa"/>
              <w:left w:w="100" w:type="dxa"/>
              <w:bottom w:w="100" w:type="dxa"/>
              <w:right w:w="100" w:type="dxa"/>
            </w:tcMar>
          </w:tcPr>
          <w:p w14:paraId="06C20D04" w14:textId="77777777" w:rsidR="007B1C78" w:rsidRPr="00D938AD" w:rsidRDefault="007B1C78" w:rsidP="007B1C78">
            <w:pPr>
              <w:widowControl w:val="0"/>
              <w:spacing w:after="0" w:line="240" w:lineRule="auto"/>
              <w:jc w:val="center"/>
              <w:rPr>
                <w:sz w:val="18"/>
                <w:szCs w:val="18"/>
              </w:rPr>
            </w:pPr>
            <w:proofErr w:type="gramStart"/>
            <w:r w:rsidRPr="00D938AD">
              <w:rPr>
                <w:sz w:val="18"/>
                <w:szCs w:val="18"/>
              </w:rPr>
              <w:t>N.A</w:t>
            </w:r>
            <w:proofErr w:type="gramEnd"/>
          </w:p>
        </w:tc>
        <w:tc>
          <w:tcPr>
            <w:tcW w:w="1350" w:type="dxa"/>
            <w:shd w:val="clear" w:color="auto" w:fill="EAF1DD" w:themeFill="accent3" w:themeFillTint="33"/>
            <w:tcMar>
              <w:top w:w="100" w:type="dxa"/>
              <w:left w:w="100" w:type="dxa"/>
              <w:bottom w:w="100" w:type="dxa"/>
              <w:right w:w="100" w:type="dxa"/>
            </w:tcMar>
          </w:tcPr>
          <w:p w14:paraId="5D7A058E" w14:textId="77777777" w:rsidR="007B1C78" w:rsidRPr="00D938AD" w:rsidRDefault="007B1C78" w:rsidP="007B1C78">
            <w:pPr>
              <w:widowControl w:val="0"/>
              <w:spacing w:after="0" w:line="240" w:lineRule="auto"/>
              <w:jc w:val="center"/>
              <w:rPr>
                <w:sz w:val="18"/>
                <w:szCs w:val="18"/>
              </w:rPr>
            </w:pPr>
            <w:proofErr w:type="gramStart"/>
            <w:r w:rsidRPr="00D938AD">
              <w:rPr>
                <w:sz w:val="18"/>
                <w:szCs w:val="18"/>
              </w:rPr>
              <w:t>N.A</w:t>
            </w:r>
            <w:proofErr w:type="gramEnd"/>
          </w:p>
        </w:tc>
        <w:tc>
          <w:tcPr>
            <w:tcW w:w="1605" w:type="dxa"/>
            <w:shd w:val="clear" w:color="auto" w:fill="EAF1DD" w:themeFill="accent3" w:themeFillTint="33"/>
            <w:tcMar>
              <w:top w:w="100" w:type="dxa"/>
              <w:left w:w="100" w:type="dxa"/>
              <w:bottom w:w="100" w:type="dxa"/>
              <w:right w:w="100" w:type="dxa"/>
            </w:tcMar>
          </w:tcPr>
          <w:p w14:paraId="2D33EDC8" w14:textId="77777777" w:rsidR="007B1C78" w:rsidRPr="00D938AD" w:rsidRDefault="007B1C78" w:rsidP="007B1C78">
            <w:pPr>
              <w:widowControl w:val="0"/>
              <w:spacing w:after="0" w:line="240" w:lineRule="auto"/>
              <w:jc w:val="center"/>
              <w:rPr>
                <w:sz w:val="18"/>
                <w:szCs w:val="18"/>
              </w:rPr>
            </w:pPr>
            <w:proofErr w:type="gramStart"/>
            <w:r w:rsidRPr="00D938AD">
              <w:rPr>
                <w:sz w:val="18"/>
                <w:szCs w:val="18"/>
              </w:rPr>
              <w:t>N.A</w:t>
            </w:r>
            <w:proofErr w:type="gramEnd"/>
          </w:p>
        </w:tc>
        <w:tc>
          <w:tcPr>
            <w:tcW w:w="7365" w:type="dxa"/>
            <w:shd w:val="clear" w:color="auto" w:fill="EAF1DD" w:themeFill="accent3" w:themeFillTint="33"/>
            <w:tcMar>
              <w:top w:w="100" w:type="dxa"/>
              <w:left w:w="100" w:type="dxa"/>
              <w:bottom w:w="100" w:type="dxa"/>
              <w:right w:w="100" w:type="dxa"/>
            </w:tcMar>
          </w:tcPr>
          <w:p w14:paraId="3C35D94A" w14:textId="77777777" w:rsidR="007B1C78" w:rsidRPr="00D938AD" w:rsidRDefault="007B1C78" w:rsidP="007B1C78">
            <w:pPr>
              <w:widowControl w:val="0"/>
              <w:spacing w:after="0" w:line="240" w:lineRule="auto"/>
              <w:jc w:val="center"/>
              <w:rPr>
                <w:sz w:val="18"/>
                <w:szCs w:val="18"/>
              </w:rPr>
            </w:pPr>
            <w:proofErr w:type="gramStart"/>
            <w:r w:rsidRPr="00D938AD">
              <w:rPr>
                <w:sz w:val="18"/>
                <w:szCs w:val="18"/>
              </w:rPr>
              <w:t>N.A</w:t>
            </w:r>
            <w:proofErr w:type="gramEnd"/>
          </w:p>
        </w:tc>
      </w:tr>
      <w:tr w:rsidR="007B1C78" w:rsidRPr="00D938AD" w14:paraId="5C6EB1C8" w14:textId="77777777" w:rsidTr="006025AD">
        <w:trPr>
          <w:trHeight w:val="420"/>
        </w:trPr>
        <w:tc>
          <w:tcPr>
            <w:tcW w:w="1665" w:type="dxa"/>
            <w:shd w:val="clear" w:color="auto" w:fill="DBE5F1" w:themeFill="accent1" w:themeFillTint="33"/>
            <w:tcMar>
              <w:top w:w="100" w:type="dxa"/>
              <w:left w:w="100" w:type="dxa"/>
              <w:bottom w:w="100" w:type="dxa"/>
              <w:right w:w="100" w:type="dxa"/>
            </w:tcMar>
          </w:tcPr>
          <w:p w14:paraId="6CF1B328" w14:textId="77777777" w:rsidR="007B1C78" w:rsidRPr="00D938AD" w:rsidRDefault="007B1C78" w:rsidP="007B1C78">
            <w:pPr>
              <w:widowControl w:val="0"/>
              <w:spacing w:after="0" w:line="240" w:lineRule="auto"/>
              <w:rPr>
                <w:sz w:val="18"/>
                <w:szCs w:val="18"/>
              </w:rPr>
            </w:pPr>
            <w:r w:rsidRPr="00D938AD">
              <w:rPr>
                <w:sz w:val="18"/>
                <w:szCs w:val="18"/>
              </w:rPr>
              <w:t>2219</w:t>
            </w:r>
          </w:p>
        </w:tc>
        <w:tc>
          <w:tcPr>
            <w:tcW w:w="1440" w:type="dxa"/>
            <w:shd w:val="clear" w:color="auto" w:fill="DBE5F1" w:themeFill="accent1" w:themeFillTint="33"/>
            <w:tcMar>
              <w:top w:w="100" w:type="dxa"/>
              <w:left w:w="100" w:type="dxa"/>
              <w:bottom w:w="100" w:type="dxa"/>
              <w:right w:w="100" w:type="dxa"/>
            </w:tcMar>
          </w:tcPr>
          <w:p w14:paraId="0F72EBF6" w14:textId="77777777" w:rsidR="007B1C78" w:rsidRPr="00D938AD" w:rsidRDefault="007B1C78" w:rsidP="007B1C78">
            <w:pPr>
              <w:widowControl w:val="0"/>
              <w:spacing w:after="0" w:line="240" w:lineRule="auto"/>
              <w:jc w:val="center"/>
              <w:rPr>
                <w:sz w:val="18"/>
                <w:szCs w:val="18"/>
              </w:rPr>
            </w:pPr>
            <w:r w:rsidRPr="00D938AD">
              <w:rPr>
                <w:sz w:val="18"/>
                <w:szCs w:val="18"/>
              </w:rPr>
              <w:t>0.1</w:t>
            </w:r>
          </w:p>
        </w:tc>
        <w:tc>
          <w:tcPr>
            <w:tcW w:w="1350" w:type="dxa"/>
            <w:shd w:val="clear" w:color="auto" w:fill="DBE5F1" w:themeFill="accent1" w:themeFillTint="33"/>
            <w:tcMar>
              <w:top w:w="100" w:type="dxa"/>
              <w:left w:w="100" w:type="dxa"/>
              <w:bottom w:w="100" w:type="dxa"/>
              <w:right w:w="100" w:type="dxa"/>
            </w:tcMar>
          </w:tcPr>
          <w:p w14:paraId="46D2FB88" w14:textId="77777777" w:rsidR="007B1C78" w:rsidRPr="00D938AD" w:rsidRDefault="007B1C78" w:rsidP="007B1C78">
            <w:pPr>
              <w:widowControl w:val="0"/>
              <w:spacing w:after="0" w:line="240" w:lineRule="auto"/>
              <w:jc w:val="center"/>
              <w:rPr>
                <w:sz w:val="18"/>
                <w:szCs w:val="18"/>
              </w:rPr>
            </w:pPr>
            <w:r w:rsidRPr="00D938AD">
              <w:rPr>
                <w:sz w:val="18"/>
                <w:szCs w:val="18"/>
              </w:rPr>
              <w:t>0.1</w:t>
            </w:r>
          </w:p>
        </w:tc>
        <w:tc>
          <w:tcPr>
            <w:tcW w:w="1605" w:type="dxa"/>
            <w:shd w:val="clear" w:color="auto" w:fill="DBE5F1" w:themeFill="accent1" w:themeFillTint="33"/>
            <w:tcMar>
              <w:top w:w="100" w:type="dxa"/>
              <w:left w:w="100" w:type="dxa"/>
              <w:bottom w:w="100" w:type="dxa"/>
              <w:right w:w="100" w:type="dxa"/>
            </w:tcMar>
          </w:tcPr>
          <w:p w14:paraId="27086EF8" w14:textId="77777777" w:rsidR="007B1C78" w:rsidRPr="00D938AD" w:rsidRDefault="007B1C78" w:rsidP="007B1C78">
            <w:pPr>
              <w:widowControl w:val="0"/>
              <w:spacing w:after="0" w:line="240" w:lineRule="auto"/>
              <w:jc w:val="center"/>
              <w:rPr>
                <w:sz w:val="18"/>
                <w:szCs w:val="18"/>
              </w:rPr>
            </w:pPr>
            <w:r w:rsidRPr="00D938AD">
              <w:rPr>
                <w:sz w:val="18"/>
                <w:szCs w:val="18"/>
              </w:rPr>
              <w:t>100%</w:t>
            </w:r>
          </w:p>
        </w:tc>
        <w:tc>
          <w:tcPr>
            <w:tcW w:w="7365" w:type="dxa"/>
            <w:shd w:val="clear" w:color="auto" w:fill="DBE5F1" w:themeFill="accent1" w:themeFillTint="33"/>
            <w:tcMar>
              <w:top w:w="100" w:type="dxa"/>
              <w:left w:w="100" w:type="dxa"/>
              <w:bottom w:w="100" w:type="dxa"/>
              <w:right w:w="100" w:type="dxa"/>
            </w:tcMar>
          </w:tcPr>
          <w:p w14:paraId="0995DC6A" w14:textId="77777777" w:rsidR="007B1C78" w:rsidRPr="00D938AD" w:rsidRDefault="007B1C78" w:rsidP="007B1C78">
            <w:pPr>
              <w:widowControl w:val="0"/>
              <w:spacing w:after="0" w:line="240" w:lineRule="auto"/>
              <w:jc w:val="both"/>
              <w:rPr>
                <w:sz w:val="18"/>
                <w:szCs w:val="18"/>
              </w:rPr>
            </w:pPr>
            <w:r w:rsidRPr="00D938AD">
              <w:rPr>
                <w:sz w:val="18"/>
                <w:szCs w:val="18"/>
              </w:rPr>
              <w:t>En el 2024 se realizó la estructuración y lanzamiento de la estrategia mediante la cual se logró el registro de 44.242 bicicletas entre 1 de Julio y el 31 de diciembre de 2024, para un acumulado total de 414.124 bicicletas registradas, lo que equivale a un 36,5% del avance de la meta frente a las bicicletas identificadas en la EM2023.</w:t>
            </w:r>
          </w:p>
          <w:p w14:paraId="55358A73" w14:textId="77777777" w:rsidR="007B1C78" w:rsidRPr="00D938AD" w:rsidRDefault="007B1C78" w:rsidP="007B1C78">
            <w:pPr>
              <w:widowControl w:val="0"/>
              <w:spacing w:after="0" w:line="240" w:lineRule="auto"/>
              <w:jc w:val="both"/>
              <w:rPr>
                <w:sz w:val="18"/>
                <w:szCs w:val="18"/>
              </w:rPr>
            </w:pPr>
            <w:r w:rsidRPr="00D938AD">
              <w:rPr>
                <w:sz w:val="18"/>
                <w:szCs w:val="18"/>
              </w:rPr>
              <w:t xml:space="preserve">Dicha estrategia se basa en ejecutar actividades de promoción, divulgación y uso de la plataforma Registro Bici Bogotá, además de gestiones interinstitucionales para la ampliación y buen uso de la red de </w:t>
            </w:r>
            <w:proofErr w:type="spellStart"/>
            <w:r w:rsidRPr="00D938AD">
              <w:rPr>
                <w:sz w:val="18"/>
                <w:szCs w:val="18"/>
              </w:rPr>
              <w:t>cicloparqueaderos</w:t>
            </w:r>
            <w:proofErr w:type="spellEnd"/>
            <w:r w:rsidRPr="00D938AD">
              <w:rPr>
                <w:sz w:val="18"/>
                <w:szCs w:val="18"/>
              </w:rPr>
              <w:t>; a continuación, se presentan los avances obtenidos durante la vigencia</w:t>
            </w:r>
          </w:p>
          <w:p w14:paraId="020D439C" w14:textId="77777777" w:rsidR="007B1C78" w:rsidRPr="00D938AD" w:rsidRDefault="007B1C78" w:rsidP="007B1C78">
            <w:pPr>
              <w:widowControl w:val="0"/>
              <w:spacing w:after="0" w:line="240" w:lineRule="auto"/>
              <w:jc w:val="both"/>
              <w:rPr>
                <w:sz w:val="18"/>
                <w:szCs w:val="18"/>
              </w:rPr>
            </w:pPr>
            <w:r w:rsidRPr="00D938AD">
              <w:rPr>
                <w:sz w:val="18"/>
                <w:szCs w:val="18"/>
              </w:rPr>
              <w:t>2024:</w:t>
            </w:r>
          </w:p>
          <w:p w14:paraId="51E76561" w14:textId="77777777" w:rsidR="007B1C78" w:rsidRPr="00D938AD" w:rsidRDefault="007B1C78" w:rsidP="007B1C78">
            <w:pPr>
              <w:widowControl w:val="0"/>
              <w:spacing w:after="0" w:line="240" w:lineRule="auto"/>
              <w:jc w:val="both"/>
              <w:rPr>
                <w:sz w:val="18"/>
                <w:szCs w:val="18"/>
              </w:rPr>
            </w:pPr>
            <w:r w:rsidRPr="00D938AD">
              <w:rPr>
                <w:sz w:val="18"/>
                <w:szCs w:val="18"/>
              </w:rPr>
              <w:t>Entre las actividades ejecutadas se destacan:</w:t>
            </w:r>
          </w:p>
          <w:p w14:paraId="35290C70"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gestionó con Transmilenio SA, que para el uso de las </w:t>
            </w:r>
            <w:proofErr w:type="spellStart"/>
            <w:r w:rsidRPr="00D938AD">
              <w:rPr>
                <w:sz w:val="18"/>
                <w:szCs w:val="18"/>
              </w:rPr>
              <w:t>biciestaciones</w:t>
            </w:r>
            <w:proofErr w:type="spellEnd"/>
            <w:r w:rsidRPr="00D938AD">
              <w:rPr>
                <w:sz w:val="18"/>
                <w:szCs w:val="18"/>
              </w:rPr>
              <w:t xml:space="preserve"> por parte de los ciclistas se requiere la presentación del comprobante de registro bici a partir del 01/09/2024.</w:t>
            </w:r>
          </w:p>
          <w:p w14:paraId="02CEF923"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realizaron 199 jornadas para la socialización y registro de bicicletas, distribuidas en: 145 en vía pública y 54 en establecimientos públicos y privados, dentro de las cuales están incluidas las </w:t>
            </w:r>
            <w:r w:rsidRPr="00D938AD">
              <w:rPr>
                <w:sz w:val="18"/>
                <w:szCs w:val="18"/>
              </w:rPr>
              <w:lastRenderedPageBreak/>
              <w:t>realizadas en estaciones del sistema TMSA y en la Semana de la Bicicleta.</w:t>
            </w:r>
          </w:p>
          <w:p w14:paraId="59385C06" w14:textId="77777777" w:rsidR="007B1C78" w:rsidRPr="00D938AD" w:rsidRDefault="007B1C78" w:rsidP="007B1C78">
            <w:pPr>
              <w:widowControl w:val="0"/>
              <w:spacing w:after="0" w:line="240" w:lineRule="auto"/>
              <w:jc w:val="both"/>
              <w:rPr>
                <w:sz w:val="18"/>
                <w:szCs w:val="18"/>
              </w:rPr>
            </w:pPr>
            <w:r w:rsidRPr="00D938AD">
              <w:rPr>
                <w:sz w:val="18"/>
                <w:szCs w:val="18"/>
              </w:rPr>
              <w:t>• Se realizaron visitas a 132 establecimientos de comercio de bicicletas para la socialización del procedimiento de registro de bicicletas.</w:t>
            </w:r>
          </w:p>
          <w:p w14:paraId="622F47BE" w14:textId="77777777" w:rsidR="007B1C78" w:rsidRPr="00D938AD" w:rsidRDefault="007B1C78" w:rsidP="007B1C78">
            <w:pPr>
              <w:widowControl w:val="0"/>
              <w:spacing w:after="0" w:line="240" w:lineRule="auto"/>
              <w:jc w:val="both"/>
              <w:rPr>
                <w:sz w:val="18"/>
                <w:szCs w:val="18"/>
              </w:rPr>
            </w:pPr>
            <w:r w:rsidRPr="00D938AD">
              <w:rPr>
                <w:sz w:val="18"/>
                <w:szCs w:val="18"/>
              </w:rPr>
              <w:t>• Se realizó la difusión en medios de comunicación y redes sociales de la entidad de la socialización de la plataforma y la publicación de jornadas.</w:t>
            </w:r>
          </w:p>
          <w:p w14:paraId="4AE034A4" w14:textId="77777777" w:rsidR="007B1C78" w:rsidRPr="00D938AD" w:rsidRDefault="007B1C78" w:rsidP="007B1C78">
            <w:pPr>
              <w:widowControl w:val="0"/>
              <w:spacing w:after="0" w:line="240" w:lineRule="auto"/>
              <w:jc w:val="both"/>
              <w:rPr>
                <w:sz w:val="18"/>
                <w:szCs w:val="18"/>
              </w:rPr>
            </w:pPr>
            <w:r w:rsidRPr="00D938AD">
              <w:rPr>
                <w:sz w:val="18"/>
                <w:szCs w:val="18"/>
              </w:rPr>
              <w:t>• Se brindó atención a 1.760 solicitudes mediante el correo electrónico:</w:t>
            </w:r>
          </w:p>
          <w:p w14:paraId="165051A5" w14:textId="77777777" w:rsidR="007B1C78" w:rsidRPr="00D938AD" w:rsidRDefault="007B1C78" w:rsidP="007B1C78">
            <w:pPr>
              <w:widowControl w:val="0"/>
              <w:spacing w:after="0" w:line="240" w:lineRule="auto"/>
              <w:jc w:val="both"/>
              <w:rPr>
                <w:sz w:val="18"/>
                <w:szCs w:val="18"/>
              </w:rPr>
            </w:pPr>
            <w:r w:rsidRPr="00D938AD">
              <w:rPr>
                <w:sz w:val="18"/>
                <w:szCs w:val="18"/>
              </w:rPr>
              <w:t>registrobicibogota@movilidadbogota.gov.co.</w:t>
            </w:r>
          </w:p>
          <w:p w14:paraId="2258E728"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realizaron dos </w:t>
            </w:r>
            <w:proofErr w:type="spellStart"/>
            <w:r w:rsidRPr="00D938AD">
              <w:rPr>
                <w:sz w:val="18"/>
                <w:szCs w:val="18"/>
              </w:rPr>
              <w:t>Registratones</w:t>
            </w:r>
            <w:proofErr w:type="spellEnd"/>
            <w:r w:rsidRPr="00D938AD">
              <w:rPr>
                <w:sz w:val="18"/>
                <w:szCs w:val="18"/>
              </w:rPr>
              <w:t xml:space="preserve"> de bicicletas, la primera el 29 de septiembre con la inscripción de más de 350 bicicletas y el 12 de diciembre y una </w:t>
            </w:r>
            <w:proofErr w:type="spellStart"/>
            <w:r w:rsidRPr="00D938AD">
              <w:rPr>
                <w:sz w:val="18"/>
                <w:szCs w:val="18"/>
              </w:rPr>
              <w:t>Registratón</w:t>
            </w:r>
            <w:proofErr w:type="spellEnd"/>
            <w:r w:rsidRPr="00D938AD">
              <w:rPr>
                <w:sz w:val="18"/>
                <w:szCs w:val="18"/>
              </w:rPr>
              <w:t xml:space="preserve"> Nocturna; en el marco de la ciclovía nocturna, con 431 registros realizados.</w:t>
            </w:r>
          </w:p>
          <w:p w14:paraId="47A8B68F"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han acompañado 12 certificaciones de </w:t>
            </w:r>
            <w:proofErr w:type="spellStart"/>
            <w:r w:rsidRPr="00D938AD">
              <w:rPr>
                <w:sz w:val="18"/>
                <w:szCs w:val="18"/>
              </w:rPr>
              <w:t>Cicloparqueaderos</w:t>
            </w:r>
            <w:proofErr w:type="spellEnd"/>
            <w:r w:rsidRPr="00D938AD">
              <w:rPr>
                <w:sz w:val="18"/>
                <w:szCs w:val="18"/>
              </w:rPr>
              <w:t xml:space="preserve"> con la socialización de la obligatoriedad del registro de bicicletas (tercer trimestre 5 y cuarto trimestre 7)</w:t>
            </w:r>
          </w:p>
          <w:p w14:paraId="2E705B4D" w14:textId="77777777" w:rsidR="007B1C78" w:rsidRPr="00D938AD" w:rsidRDefault="007B1C78" w:rsidP="007B1C78">
            <w:pPr>
              <w:widowControl w:val="0"/>
              <w:spacing w:after="0" w:line="240" w:lineRule="auto"/>
              <w:jc w:val="both"/>
              <w:rPr>
                <w:sz w:val="18"/>
                <w:szCs w:val="18"/>
              </w:rPr>
            </w:pPr>
            <w:r w:rsidRPr="00D938AD">
              <w:rPr>
                <w:sz w:val="18"/>
                <w:szCs w:val="18"/>
              </w:rPr>
              <w:t>A través de las actividades anteriormente señaladas, se pretende que los ciudadanos que circulan en bicicleta en la ciudad cumplan con la obligatoriedad de realizar el registro de su bicicleta y así la entidad puede avanzar en el cumplimiento de la meta.</w:t>
            </w:r>
          </w:p>
          <w:p w14:paraId="276B5A29" w14:textId="77777777" w:rsidR="007B1C78" w:rsidRPr="00D938AD" w:rsidRDefault="007B1C78" w:rsidP="007B1C78">
            <w:pPr>
              <w:widowControl w:val="0"/>
              <w:spacing w:after="0" w:line="240" w:lineRule="auto"/>
              <w:jc w:val="both"/>
              <w:rPr>
                <w:sz w:val="18"/>
                <w:szCs w:val="18"/>
              </w:rPr>
            </w:pPr>
          </w:p>
        </w:tc>
      </w:tr>
      <w:tr w:rsidR="007B1C78" w:rsidRPr="00D938AD" w14:paraId="383DBB31" w14:textId="77777777" w:rsidTr="006025AD">
        <w:trPr>
          <w:trHeight w:val="1587"/>
        </w:trPr>
        <w:tc>
          <w:tcPr>
            <w:tcW w:w="1665" w:type="dxa"/>
            <w:shd w:val="clear" w:color="auto" w:fill="EAF1DD" w:themeFill="accent3" w:themeFillTint="33"/>
            <w:tcMar>
              <w:top w:w="100" w:type="dxa"/>
              <w:left w:w="100" w:type="dxa"/>
              <w:bottom w:w="100" w:type="dxa"/>
              <w:right w:w="100" w:type="dxa"/>
            </w:tcMar>
          </w:tcPr>
          <w:p w14:paraId="1DA72C29" w14:textId="77777777" w:rsidR="007B1C78" w:rsidRPr="00D938AD" w:rsidRDefault="007B1C78" w:rsidP="007B1C78">
            <w:pPr>
              <w:widowControl w:val="0"/>
              <w:spacing w:after="0" w:line="240" w:lineRule="auto"/>
              <w:rPr>
                <w:sz w:val="18"/>
                <w:szCs w:val="18"/>
              </w:rPr>
            </w:pPr>
            <w:r w:rsidRPr="00D938AD">
              <w:rPr>
                <w:sz w:val="18"/>
                <w:szCs w:val="18"/>
              </w:rPr>
              <w:lastRenderedPageBreak/>
              <w:t>2223</w:t>
            </w:r>
          </w:p>
        </w:tc>
        <w:tc>
          <w:tcPr>
            <w:tcW w:w="1440" w:type="dxa"/>
            <w:shd w:val="clear" w:color="auto" w:fill="EAF1DD" w:themeFill="accent3" w:themeFillTint="33"/>
            <w:tcMar>
              <w:top w:w="100" w:type="dxa"/>
              <w:left w:w="100" w:type="dxa"/>
              <w:bottom w:w="100" w:type="dxa"/>
              <w:right w:w="100" w:type="dxa"/>
            </w:tcMar>
          </w:tcPr>
          <w:p w14:paraId="3155E6F4" w14:textId="77777777" w:rsidR="007B1C78" w:rsidRPr="00D938AD" w:rsidRDefault="007B1C78" w:rsidP="007B1C78">
            <w:pPr>
              <w:widowControl w:val="0"/>
              <w:spacing w:after="0" w:line="240" w:lineRule="auto"/>
              <w:jc w:val="center"/>
              <w:rPr>
                <w:sz w:val="18"/>
                <w:szCs w:val="18"/>
              </w:rPr>
            </w:pPr>
            <w:r w:rsidRPr="00D938AD">
              <w:rPr>
                <w:sz w:val="18"/>
                <w:szCs w:val="18"/>
              </w:rPr>
              <w:t>8.452.084</w:t>
            </w:r>
          </w:p>
        </w:tc>
        <w:tc>
          <w:tcPr>
            <w:tcW w:w="1350" w:type="dxa"/>
            <w:shd w:val="clear" w:color="auto" w:fill="EAF1DD" w:themeFill="accent3" w:themeFillTint="33"/>
            <w:tcMar>
              <w:top w:w="100" w:type="dxa"/>
              <w:left w:w="100" w:type="dxa"/>
              <w:bottom w:w="100" w:type="dxa"/>
              <w:right w:w="100" w:type="dxa"/>
            </w:tcMar>
          </w:tcPr>
          <w:p w14:paraId="4789F21C" w14:textId="77777777" w:rsidR="007B1C78" w:rsidRPr="00D938AD" w:rsidRDefault="007B1C78" w:rsidP="007B1C78">
            <w:pPr>
              <w:widowControl w:val="0"/>
              <w:spacing w:after="0" w:line="240" w:lineRule="auto"/>
              <w:jc w:val="center"/>
              <w:rPr>
                <w:sz w:val="18"/>
                <w:szCs w:val="18"/>
              </w:rPr>
            </w:pPr>
            <w:r w:rsidRPr="00D938AD">
              <w:rPr>
                <w:sz w:val="18"/>
                <w:szCs w:val="18"/>
              </w:rPr>
              <w:t>8.452.084</w:t>
            </w:r>
          </w:p>
        </w:tc>
        <w:tc>
          <w:tcPr>
            <w:tcW w:w="1605" w:type="dxa"/>
            <w:shd w:val="clear" w:color="auto" w:fill="EAF1DD" w:themeFill="accent3" w:themeFillTint="33"/>
            <w:tcMar>
              <w:top w:w="100" w:type="dxa"/>
              <w:left w:w="100" w:type="dxa"/>
              <w:bottom w:w="100" w:type="dxa"/>
              <w:right w:w="100" w:type="dxa"/>
            </w:tcMar>
          </w:tcPr>
          <w:p w14:paraId="121A035A" w14:textId="77777777" w:rsidR="007B1C78" w:rsidRPr="00D938AD" w:rsidRDefault="007B1C78" w:rsidP="007B1C78">
            <w:pPr>
              <w:widowControl w:val="0"/>
              <w:spacing w:after="0" w:line="240" w:lineRule="auto"/>
              <w:jc w:val="center"/>
              <w:rPr>
                <w:sz w:val="18"/>
                <w:szCs w:val="18"/>
              </w:rPr>
            </w:pPr>
            <w:r w:rsidRPr="00D938AD">
              <w:rPr>
                <w:sz w:val="18"/>
                <w:szCs w:val="18"/>
              </w:rPr>
              <w:t>0%</w:t>
            </w:r>
          </w:p>
        </w:tc>
        <w:tc>
          <w:tcPr>
            <w:tcW w:w="7365" w:type="dxa"/>
            <w:shd w:val="clear" w:color="auto" w:fill="EAF1DD" w:themeFill="accent3" w:themeFillTint="33"/>
            <w:tcMar>
              <w:top w:w="100" w:type="dxa"/>
              <w:left w:w="100" w:type="dxa"/>
              <w:bottom w:w="100" w:type="dxa"/>
              <w:right w:w="100" w:type="dxa"/>
            </w:tcMar>
          </w:tcPr>
          <w:p w14:paraId="0AFF4BBF" w14:textId="77777777" w:rsidR="007B1C78" w:rsidRPr="00D938AD" w:rsidRDefault="007B1C78" w:rsidP="007B1C78">
            <w:pPr>
              <w:widowControl w:val="0"/>
              <w:spacing w:after="0" w:line="240" w:lineRule="auto"/>
              <w:jc w:val="both"/>
              <w:rPr>
                <w:sz w:val="18"/>
                <w:szCs w:val="18"/>
              </w:rPr>
            </w:pPr>
            <w:r w:rsidRPr="00D938AD">
              <w:rPr>
                <w:sz w:val="18"/>
                <w:szCs w:val="18"/>
              </w:rPr>
              <w:t>Con el fin de aumentar los viajes en modos sostenibles en la ciudad de Bogotá, durante la vigencia se ejecutaron las siguientes avances y logros:</w:t>
            </w:r>
          </w:p>
          <w:p w14:paraId="7F098CC4" w14:textId="77777777" w:rsidR="007B1C78" w:rsidRPr="00D938AD" w:rsidRDefault="007B1C78" w:rsidP="007B1C78">
            <w:pPr>
              <w:widowControl w:val="0"/>
              <w:spacing w:after="0" w:line="240" w:lineRule="auto"/>
              <w:jc w:val="both"/>
              <w:rPr>
                <w:sz w:val="18"/>
                <w:szCs w:val="18"/>
              </w:rPr>
            </w:pPr>
            <w:r w:rsidRPr="00D938AD">
              <w:rPr>
                <w:sz w:val="18"/>
                <w:szCs w:val="18"/>
              </w:rPr>
              <w:t>1. Acciones para fomentar el uso y disfrute de los viajes en bicicleta y del peatón:</w:t>
            </w:r>
          </w:p>
          <w:p w14:paraId="2C6A25C1" w14:textId="77777777" w:rsidR="007B1C78" w:rsidRPr="00D938AD" w:rsidRDefault="007B1C78" w:rsidP="007B1C78">
            <w:pPr>
              <w:widowControl w:val="0"/>
              <w:spacing w:after="0" w:line="240" w:lineRule="auto"/>
              <w:jc w:val="both"/>
              <w:rPr>
                <w:sz w:val="18"/>
                <w:szCs w:val="18"/>
              </w:rPr>
            </w:pPr>
            <w:r w:rsidRPr="00D938AD">
              <w:rPr>
                <w:sz w:val="18"/>
                <w:szCs w:val="18"/>
              </w:rPr>
              <w:t>• Se realizaron más de 833 mil nuevos viajes en el Sistema de Bicicletas Compartidas entre julio y diciembre de 2024 para un acumulado de 3,3 millones de viajes desde inicio de operación.</w:t>
            </w:r>
          </w:p>
          <w:p w14:paraId="7F371BF9" w14:textId="77777777" w:rsidR="007B1C78" w:rsidRPr="00D938AD" w:rsidRDefault="007B1C78" w:rsidP="007B1C78">
            <w:pPr>
              <w:widowControl w:val="0"/>
              <w:spacing w:after="0" w:line="240" w:lineRule="auto"/>
              <w:jc w:val="both"/>
              <w:rPr>
                <w:sz w:val="18"/>
                <w:szCs w:val="18"/>
              </w:rPr>
            </w:pPr>
            <w:r w:rsidRPr="00D938AD">
              <w:rPr>
                <w:sz w:val="18"/>
                <w:szCs w:val="18"/>
              </w:rPr>
              <w:t>• Se amplió la red de estacionamientos de micromovilidad en más de 8.900 cupos para el periodo de julio-diciembre 2024.</w:t>
            </w:r>
          </w:p>
          <w:p w14:paraId="00392EE0"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realizó la planificación y priorización de 59 kilómetros nuevos </w:t>
            </w:r>
            <w:proofErr w:type="spellStart"/>
            <w:r w:rsidRPr="00D938AD">
              <w:rPr>
                <w:sz w:val="18"/>
                <w:szCs w:val="18"/>
              </w:rPr>
              <w:t>cicloinfraestructura</w:t>
            </w:r>
            <w:proofErr w:type="spellEnd"/>
            <w:r w:rsidRPr="00D938AD">
              <w:rPr>
                <w:sz w:val="18"/>
                <w:szCs w:val="18"/>
              </w:rPr>
              <w:t xml:space="preserve"> y conservación de 142 kilómetros de la existente, para mejorar las condiciones de los viajes en bicicleta.</w:t>
            </w:r>
          </w:p>
          <w:p w14:paraId="2CC7EDF7" w14:textId="77777777" w:rsidR="007B1C78" w:rsidRPr="00D938AD" w:rsidRDefault="007B1C78" w:rsidP="007B1C78">
            <w:pPr>
              <w:widowControl w:val="0"/>
              <w:spacing w:after="0" w:line="240" w:lineRule="auto"/>
              <w:jc w:val="both"/>
              <w:rPr>
                <w:sz w:val="18"/>
                <w:szCs w:val="18"/>
              </w:rPr>
            </w:pPr>
            <w:r w:rsidRPr="00D938AD">
              <w:rPr>
                <w:sz w:val="18"/>
                <w:szCs w:val="18"/>
              </w:rPr>
              <w:t>• Se desarrollaron cerca de 87 actividades de promoción para estimular buenos comportamientos de peatones y ciclistas.</w:t>
            </w:r>
          </w:p>
          <w:p w14:paraId="0D00E51E" w14:textId="77777777" w:rsidR="007B1C78" w:rsidRPr="00D938AD" w:rsidRDefault="007B1C78" w:rsidP="007B1C78">
            <w:pPr>
              <w:widowControl w:val="0"/>
              <w:spacing w:after="0" w:line="240" w:lineRule="auto"/>
              <w:jc w:val="both"/>
              <w:rPr>
                <w:sz w:val="18"/>
                <w:szCs w:val="18"/>
              </w:rPr>
            </w:pPr>
            <w:r w:rsidRPr="00D938AD">
              <w:rPr>
                <w:sz w:val="18"/>
                <w:szCs w:val="18"/>
              </w:rPr>
              <w:t xml:space="preserve">• Se estructuró la estrategia de circuitos peatonales como una iniciativa de conectividad y rutas seguras para el desplazamiento peatonal. Se destaca la activación del circuito Sierra Morena en la </w:t>
            </w:r>
            <w:r w:rsidRPr="00D938AD">
              <w:rPr>
                <w:sz w:val="18"/>
                <w:szCs w:val="18"/>
              </w:rPr>
              <w:lastRenderedPageBreak/>
              <w:t>Localidad de Ciudad Bolívar con motivo del Día del Peatón (10/11/2024).</w:t>
            </w:r>
          </w:p>
          <w:p w14:paraId="76625D3A" w14:textId="77777777" w:rsidR="007B1C78" w:rsidRPr="00D938AD" w:rsidRDefault="007B1C78" w:rsidP="007B1C78">
            <w:pPr>
              <w:widowControl w:val="0"/>
              <w:spacing w:after="0" w:line="240" w:lineRule="auto"/>
              <w:jc w:val="both"/>
              <w:rPr>
                <w:sz w:val="18"/>
                <w:szCs w:val="18"/>
              </w:rPr>
            </w:pPr>
            <w:r w:rsidRPr="00D938AD">
              <w:rPr>
                <w:sz w:val="18"/>
                <w:szCs w:val="18"/>
              </w:rPr>
              <w:t>2. Acciones para racionalizar el uso del vehículo particular en la ciudad y promover el uso de modos de viaje sostenibles:</w:t>
            </w:r>
          </w:p>
          <w:p w14:paraId="369F7627" w14:textId="77777777" w:rsidR="007B1C78" w:rsidRPr="00D938AD" w:rsidRDefault="007B1C78" w:rsidP="007B1C78">
            <w:pPr>
              <w:widowControl w:val="0"/>
              <w:spacing w:after="0" w:line="240" w:lineRule="auto"/>
              <w:jc w:val="both"/>
              <w:rPr>
                <w:sz w:val="18"/>
                <w:szCs w:val="18"/>
              </w:rPr>
            </w:pPr>
            <w:r w:rsidRPr="00D938AD">
              <w:rPr>
                <w:sz w:val="18"/>
                <w:szCs w:val="18"/>
              </w:rPr>
              <w:t>• Por parte de la Red Muévete Mejor, se aprobaron 14 Planes Integrales de Movilidad Sostenible, se llevaron a cabo 8 eventos/actividades con entidades públicas, empresas privadas y universidades, donde asistieron más de 360 personas. En 2024 las organizaciones reportaron 181.168 viajes en bicicleta los primeros jueves de cada mes, superando la meta (logro: 107,1%)</w:t>
            </w:r>
          </w:p>
          <w:p w14:paraId="1E848838" w14:textId="77777777" w:rsidR="007B1C78" w:rsidRPr="00D938AD" w:rsidRDefault="007B1C78" w:rsidP="007B1C78">
            <w:pPr>
              <w:widowControl w:val="0"/>
              <w:spacing w:after="0" w:line="240" w:lineRule="auto"/>
              <w:jc w:val="both"/>
              <w:rPr>
                <w:sz w:val="18"/>
                <w:szCs w:val="18"/>
              </w:rPr>
            </w:pPr>
            <w:r w:rsidRPr="00D938AD">
              <w:rPr>
                <w:sz w:val="18"/>
                <w:szCs w:val="18"/>
              </w:rPr>
              <w:t>3. Acciones para el fortalecimiento y operación del transporte público masivo, para mejorar la experiencia del usuario y obtener un mayor número de viajes:</w:t>
            </w:r>
          </w:p>
          <w:p w14:paraId="5D6A7BD9" w14:textId="77777777" w:rsidR="007B1C78" w:rsidRPr="00D938AD" w:rsidRDefault="007B1C78" w:rsidP="007B1C78">
            <w:pPr>
              <w:widowControl w:val="0"/>
              <w:spacing w:after="0" w:line="240" w:lineRule="auto"/>
              <w:jc w:val="both"/>
              <w:rPr>
                <w:sz w:val="18"/>
                <w:szCs w:val="18"/>
              </w:rPr>
            </w:pPr>
            <w:r w:rsidRPr="00D938AD">
              <w:rPr>
                <w:sz w:val="18"/>
                <w:szCs w:val="18"/>
              </w:rPr>
              <w:t>• Se priorizó la movilidad en transporte público, con la implementación de un carril preferencial en la Kr 13 entre Cl 19 a 67</w:t>
            </w:r>
          </w:p>
          <w:p w14:paraId="591E13D0" w14:textId="77777777" w:rsidR="007B1C78" w:rsidRPr="00D938AD" w:rsidRDefault="007B1C78" w:rsidP="007B1C78">
            <w:pPr>
              <w:widowControl w:val="0"/>
              <w:spacing w:after="0" w:line="240" w:lineRule="auto"/>
              <w:jc w:val="both"/>
              <w:rPr>
                <w:sz w:val="18"/>
                <w:szCs w:val="18"/>
              </w:rPr>
            </w:pPr>
            <w:r w:rsidRPr="00D938AD">
              <w:rPr>
                <w:sz w:val="18"/>
                <w:szCs w:val="18"/>
              </w:rPr>
              <w:t>• Se promueve la mejora del servicio a través de la verificación de 433 paraderos de SITP, en lo relacionado a la implementación de los lineamientos de paraderos accesibles</w:t>
            </w:r>
          </w:p>
          <w:p w14:paraId="71EB068C" w14:textId="77777777" w:rsidR="007B1C78" w:rsidRPr="00D938AD" w:rsidRDefault="007B1C78" w:rsidP="007B1C78">
            <w:pPr>
              <w:widowControl w:val="0"/>
              <w:spacing w:after="0" w:line="240" w:lineRule="auto"/>
              <w:jc w:val="both"/>
              <w:rPr>
                <w:sz w:val="18"/>
                <w:szCs w:val="18"/>
              </w:rPr>
            </w:pPr>
            <w:r w:rsidRPr="00D938AD">
              <w:rPr>
                <w:sz w:val="18"/>
                <w:szCs w:val="18"/>
              </w:rPr>
              <w:t>• Se realizaron visitas a 170 paraderos de rutas de transporte intermunicipal, para identificar las condiciones de operación y así establecer acciones de mejora</w:t>
            </w:r>
          </w:p>
          <w:p w14:paraId="60672FF4" w14:textId="77777777" w:rsidR="007B1C78" w:rsidRPr="00D938AD" w:rsidRDefault="007B1C78" w:rsidP="007B1C78">
            <w:pPr>
              <w:widowControl w:val="0"/>
              <w:spacing w:after="0" w:line="240" w:lineRule="auto"/>
              <w:jc w:val="both"/>
              <w:rPr>
                <w:sz w:val="18"/>
                <w:szCs w:val="18"/>
              </w:rPr>
            </w:pPr>
            <w:r w:rsidRPr="00D938AD">
              <w:rPr>
                <w:sz w:val="18"/>
                <w:szCs w:val="18"/>
              </w:rPr>
              <w:t>• Para garantizar la operación del Sistema Integrado de Transporte Público, se realizó revisión, gestión y seguimiento a solicitudes de recursos del Fondo de Estabilización Tarifaria</w:t>
            </w:r>
          </w:p>
          <w:p w14:paraId="71A790A9" w14:textId="77777777" w:rsidR="007B1C78" w:rsidRPr="00D938AD" w:rsidRDefault="007B1C78" w:rsidP="007B1C78">
            <w:pPr>
              <w:widowControl w:val="0"/>
              <w:spacing w:after="0" w:line="240" w:lineRule="auto"/>
              <w:jc w:val="both"/>
              <w:rPr>
                <w:sz w:val="18"/>
                <w:szCs w:val="18"/>
              </w:rPr>
            </w:pPr>
            <w:r w:rsidRPr="00D938AD">
              <w:rPr>
                <w:sz w:val="18"/>
                <w:szCs w:val="18"/>
              </w:rPr>
              <w:t>• Se realizó el Documento Técnico de Soporte para la definición de las tarifas del servicio del Sistema Integrado de Transporte Público que permite garantizar la sostenibilidad del sistema y la mejora en los estándares de calidad en la prestación del servicio</w:t>
            </w:r>
          </w:p>
          <w:p w14:paraId="44658840" w14:textId="77777777" w:rsidR="007B1C78" w:rsidRPr="00D938AD" w:rsidRDefault="007B1C78" w:rsidP="007B1C78">
            <w:pPr>
              <w:widowControl w:val="0"/>
              <w:spacing w:after="0" w:line="240" w:lineRule="auto"/>
              <w:jc w:val="both"/>
              <w:rPr>
                <w:sz w:val="18"/>
                <w:szCs w:val="18"/>
              </w:rPr>
            </w:pPr>
            <w:r w:rsidRPr="00D938AD">
              <w:rPr>
                <w:sz w:val="18"/>
                <w:szCs w:val="18"/>
              </w:rPr>
              <w:t>4. Acciones para fortalecer el conocimiento mediante capacitaciones a 30 colaboradores del Distrito en movilidad sostenible y tecnologías limpias</w:t>
            </w:r>
          </w:p>
          <w:p w14:paraId="0628C59D" w14:textId="77777777" w:rsidR="007B1C78" w:rsidRPr="00D938AD" w:rsidRDefault="007B1C78" w:rsidP="007B1C78">
            <w:pPr>
              <w:widowControl w:val="0"/>
              <w:spacing w:after="0" w:line="240" w:lineRule="auto"/>
              <w:jc w:val="both"/>
              <w:rPr>
                <w:sz w:val="18"/>
                <w:szCs w:val="18"/>
              </w:rPr>
            </w:pPr>
          </w:p>
          <w:p w14:paraId="6531BAA6" w14:textId="77777777" w:rsidR="007B1C78" w:rsidRPr="00D938AD" w:rsidRDefault="007B1C78" w:rsidP="007B1C78">
            <w:pPr>
              <w:widowControl w:val="0"/>
              <w:spacing w:after="0" w:line="240" w:lineRule="auto"/>
              <w:jc w:val="both"/>
              <w:rPr>
                <w:sz w:val="18"/>
                <w:szCs w:val="18"/>
              </w:rPr>
            </w:pPr>
            <w:r w:rsidRPr="00D938AD">
              <w:rPr>
                <w:b/>
                <w:sz w:val="18"/>
                <w:szCs w:val="18"/>
              </w:rPr>
              <w:t xml:space="preserve">Retraso: </w:t>
            </w:r>
            <w:r w:rsidRPr="00D938AD">
              <w:rPr>
                <w:sz w:val="18"/>
                <w:szCs w:val="18"/>
              </w:rPr>
              <w:t>Aunque no se presente un retraso en el reporte del indicador, se aclara que,</w:t>
            </w:r>
          </w:p>
          <w:p w14:paraId="3FD26F5C" w14:textId="77777777" w:rsidR="007B1C78" w:rsidRPr="00D938AD" w:rsidRDefault="007B1C78" w:rsidP="007B1C78">
            <w:pPr>
              <w:widowControl w:val="0"/>
              <w:spacing w:after="0" w:line="240" w:lineRule="auto"/>
              <w:jc w:val="both"/>
              <w:rPr>
                <w:sz w:val="18"/>
                <w:szCs w:val="18"/>
              </w:rPr>
            </w:pPr>
            <w:r w:rsidRPr="00D938AD">
              <w:rPr>
                <w:sz w:val="18"/>
                <w:szCs w:val="18"/>
              </w:rPr>
              <w:t>técnicamente no es posible proporcionar resultados anuales de la meta dado que no se dispone de información actualizada con la misma periodicidad. Esto se debe a que la encuesta de movilidad, que constituye la fuente principal de información, se realiza cada cuatro años.</w:t>
            </w:r>
          </w:p>
          <w:p w14:paraId="0706FC55" w14:textId="77777777" w:rsidR="007B1C78" w:rsidRPr="00D938AD" w:rsidRDefault="007B1C78" w:rsidP="007B1C78">
            <w:pPr>
              <w:widowControl w:val="0"/>
              <w:spacing w:after="0" w:line="240" w:lineRule="auto"/>
              <w:jc w:val="both"/>
              <w:rPr>
                <w:sz w:val="18"/>
                <w:szCs w:val="18"/>
              </w:rPr>
            </w:pPr>
            <w:r w:rsidRPr="00D938AD">
              <w:rPr>
                <w:b/>
                <w:sz w:val="18"/>
                <w:szCs w:val="18"/>
              </w:rPr>
              <w:t>Solución</w:t>
            </w:r>
            <w:r w:rsidRPr="00D938AD">
              <w:rPr>
                <w:sz w:val="18"/>
                <w:szCs w:val="18"/>
              </w:rPr>
              <w:t>: Se evaluará la viabilidad de generar una medición parcial del indicador que incluya la información de viajes realizados en SITP con base en las validaciones reportadas por Transmilenio</w:t>
            </w:r>
          </w:p>
          <w:p w14:paraId="320B0F8A" w14:textId="77777777" w:rsidR="007B1C78" w:rsidRPr="00D938AD" w:rsidRDefault="007B1C78" w:rsidP="007B1C78">
            <w:pPr>
              <w:widowControl w:val="0"/>
              <w:spacing w:after="0" w:line="240" w:lineRule="auto"/>
              <w:jc w:val="both"/>
              <w:rPr>
                <w:sz w:val="18"/>
                <w:szCs w:val="18"/>
              </w:rPr>
            </w:pPr>
            <w:r w:rsidRPr="00D938AD">
              <w:rPr>
                <w:sz w:val="18"/>
                <w:szCs w:val="18"/>
              </w:rPr>
              <w:t>S.A., para los demás viajes en modos sostenibles no se cuenta con otras fuentes de información distintas a la encuesta de movilidad.</w:t>
            </w:r>
          </w:p>
          <w:p w14:paraId="488F3053" w14:textId="68ED94AC" w:rsidR="007B1C78" w:rsidRPr="00D938AD" w:rsidRDefault="007B1C78" w:rsidP="00CC4F33">
            <w:pPr>
              <w:widowControl w:val="0"/>
              <w:spacing w:after="0" w:line="240" w:lineRule="auto"/>
              <w:jc w:val="both"/>
              <w:rPr>
                <w:sz w:val="18"/>
                <w:szCs w:val="18"/>
              </w:rPr>
            </w:pPr>
            <w:r w:rsidRPr="00D938AD">
              <w:rPr>
                <w:sz w:val="18"/>
                <w:szCs w:val="18"/>
              </w:rPr>
              <w:lastRenderedPageBreak/>
              <w:t>Así mismo, cabe resaltar que el uso de fuentes de información diferentes a las utilizadas en la línea base permite hacer un seguimiento del comportamiento preliminar del indicador, no obstante, los resultados obtenidos pueden diferir de la línea base, teniendo en cuenta que las variables y técnicas para la captura y/o análisis de la información de cada fuente son diferentes frente a los utilizados en la medición de la línea base.</w:t>
            </w:r>
          </w:p>
        </w:tc>
      </w:tr>
    </w:tbl>
    <w:p w14:paraId="334314E1" w14:textId="73765BC6" w:rsidR="00464642" w:rsidRDefault="00464642"/>
    <w:p w14:paraId="3941DA14" w14:textId="3DF4681F" w:rsidR="00464642" w:rsidRDefault="00464642"/>
    <w:tbl>
      <w:tblPr>
        <w:tblStyle w:val="afff3"/>
        <w:tblW w:w="13431"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13431"/>
      </w:tblGrid>
      <w:tr w:rsidR="00464642" w14:paraId="00238585" w14:textId="77777777" w:rsidTr="006025AD">
        <w:trPr>
          <w:trHeight w:val="420"/>
          <w:tblHeader/>
        </w:trPr>
        <w:tc>
          <w:tcPr>
            <w:tcW w:w="13431" w:type="dxa"/>
            <w:shd w:val="clear" w:color="auto" w:fill="2E74B5"/>
            <w:tcMar>
              <w:top w:w="100" w:type="dxa"/>
              <w:left w:w="100" w:type="dxa"/>
              <w:bottom w:w="100" w:type="dxa"/>
              <w:right w:w="100" w:type="dxa"/>
            </w:tcMar>
          </w:tcPr>
          <w:p w14:paraId="2E5810F3" w14:textId="6EA39E18" w:rsidR="00464642" w:rsidRDefault="00416049">
            <w:pPr>
              <w:widowControl w:val="0"/>
              <w:spacing w:before="40" w:after="0" w:line="240" w:lineRule="auto"/>
              <w:jc w:val="center"/>
              <w:rPr>
                <w:color w:val="FFFFFF"/>
                <w:sz w:val="18"/>
                <w:szCs w:val="18"/>
              </w:rPr>
            </w:pPr>
            <w:r>
              <w:rPr>
                <w:color w:val="FFFFFF"/>
                <w:sz w:val="18"/>
                <w:szCs w:val="18"/>
              </w:rPr>
              <w:t>PROGRAMA 33:  Fortalecimiento institucional para un gobierno confiable</w:t>
            </w:r>
          </w:p>
          <w:p w14:paraId="038F1266" w14:textId="77777777" w:rsidR="00464642" w:rsidRDefault="00416049">
            <w:pPr>
              <w:widowControl w:val="0"/>
              <w:spacing w:before="40" w:after="0" w:line="240" w:lineRule="auto"/>
              <w:rPr>
                <w:color w:val="FFFFFF"/>
                <w:sz w:val="18"/>
                <w:szCs w:val="18"/>
              </w:rPr>
            </w:pPr>
            <w:r>
              <w:rPr>
                <w:color w:val="FFFFFF"/>
                <w:sz w:val="18"/>
                <w:szCs w:val="18"/>
              </w:rPr>
              <w:t xml:space="preserve">7969 </w:t>
            </w:r>
            <w:proofErr w:type="gramStart"/>
            <w:r>
              <w:rPr>
                <w:color w:val="FFFFFF"/>
                <w:sz w:val="18"/>
                <w:szCs w:val="18"/>
              </w:rPr>
              <w:t>Mejoramiento</w:t>
            </w:r>
            <w:proofErr w:type="gramEnd"/>
            <w:r>
              <w:rPr>
                <w:color w:val="FFFFFF"/>
                <w:sz w:val="18"/>
                <w:szCs w:val="18"/>
              </w:rPr>
              <w:t xml:space="preserve"> en la gestión de las acciones de transparencia e integridad de la Secretaría Distrital de Movilidad en Bogotá D.C</w:t>
            </w:r>
          </w:p>
          <w:p w14:paraId="22C1778C" w14:textId="77777777" w:rsidR="00464642" w:rsidRDefault="00416049">
            <w:pPr>
              <w:widowControl w:val="0"/>
              <w:spacing w:before="40" w:after="0" w:line="240" w:lineRule="auto"/>
              <w:rPr>
                <w:color w:val="FFFFFF"/>
                <w:sz w:val="18"/>
                <w:szCs w:val="18"/>
              </w:rPr>
            </w:pPr>
            <w:r>
              <w:rPr>
                <w:color w:val="FFFFFF"/>
                <w:sz w:val="18"/>
                <w:szCs w:val="18"/>
              </w:rPr>
              <w:t xml:space="preserve">7982 </w:t>
            </w:r>
            <w:proofErr w:type="gramStart"/>
            <w:r>
              <w:rPr>
                <w:color w:val="FFFFFF"/>
                <w:sz w:val="18"/>
                <w:szCs w:val="18"/>
              </w:rPr>
              <w:t>Mejoramiento</w:t>
            </w:r>
            <w:proofErr w:type="gramEnd"/>
            <w:r>
              <w:rPr>
                <w:color w:val="FFFFFF"/>
                <w:sz w:val="18"/>
                <w:szCs w:val="18"/>
              </w:rPr>
              <w:t xml:space="preserve"> y mantenimiento de los servicios de TI asociados a la infraestructura tecnológica operacional de la Secretaría Distrital de Movilidad de Bogotá D.C.</w:t>
            </w:r>
          </w:p>
          <w:p w14:paraId="7313FAF1" w14:textId="77777777" w:rsidR="00464642" w:rsidRDefault="00416049">
            <w:pPr>
              <w:widowControl w:val="0"/>
              <w:spacing w:before="40" w:after="0" w:line="240" w:lineRule="auto"/>
              <w:rPr>
                <w:color w:val="FFFFFF"/>
                <w:sz w:val="18"/>
                <w:szCs w:val="18"/>
              </w:rPr>
            </w:pPr>
            <w:r>
              <w:rPr>
                <w:color w:val="FFFFFF"/>
                <w:sz w:val="18"/>
                <w:szCs w:val="18"/>
              </w:rPr>
              <w:t xml:space="preserve">7985 </w:t>
            </w:r>
            <w:proofErr w:type="gramStart"/>
            <w:r>
              <w:rPr>
                <w:color w:val="FFFFFF"/>
                <w:sz w:val="18"/>
                <w:szCs w:val="18"/>
              </w:rPr>
              <w:t>Consolidación</w:t>
            </w:r>
            <w:proofErr w:type="gramEnd"/>
            <w:r>
              <w:rPr>
                <w:color w:val="FFFFFF"/>
                <w:sz w:val="18"/>
                <w:szCs w:val="18"/>
              </w:rPr>
              <w:t xml:space="preserve"> del trabajo colaborativo y apoyo institucional en la Secretaría Distrital de Movilidad de</w:t>
            </w:r>
          </w:p>
          <w:p w14:paraId="608EDB85" w14:textId="77777777" w:rsidR="00464642" w:rsidRDefault="00416049">
            <w:pPr>
              <w:widowControl w:val="0"/>
              <w:spacing w:before="40" w:after="0" w:line="240" w:lineRule="auto"/>
              <w:rPr>
                <w:color w:val="FFFFFF"/>
                <w:sz w:val="18"/>
                <w:szCs w:val="18"/>
              </w:rPr>
            </w:pPr>
            <w:r>
              <w:rPr>
                <w:color w:val="FFFFFF"/>
                <w:sz w:val="18"/>
                <w:szCs w:val="18"/>
              </w:rPr>
              <w:t>Bogotá D.C.</w:t>
            </w:r>
          </w:p>
          <w:p w14:paraId="638873C7" w14:textId="77777777" w:rsidR="00464642" w:rsidRDefault="00416049">
            <w:pPr>
              <w:widowControl w:val="0"/>
              <w:spacing w:before="40" w:after="0" w:line="240" w:lineRule="auto"/>
              <w:rPr>
                <w:color w:val="FFFFFF"/>
                <w:sz w:val="18"/>
                <w:szCs w:val="18"/>
              </w:rPr>
            </w:pPr>
            <w:r>
              <w:rPr>
                <w:color w:val="FFFFFF"/>
                <w:sz w:val="18"/>
                <w:szCs w:val="18"/>
              </w:rPr>
              <w:t xml:space="preserve">7994 </w:t>
            </w:r>
            <w:proofErr w:type="gramStart"/>
            <w:r>
              <w:rPr>
                <w:color w:val="FFFFFF"/>
                <w:sz w:val="18"/>
                <w:szCs w:val="18"/>
              </w:rPr>
              <w:t>Fortalecimiento</w:t>
            </w:r>
            <w:proofErr w:type="gramEnd"/>
            <w:r>
              <w:rPr>
                <w:color w:val="FFFFFF"/>
                <w:sz w:val="18"/>
                <w:szCs w:val="18"/>
              </w:rPr>
              <w:t xml:space="preserve"> de la Gestión Jurídica en la Secretaría Distrital de Movilidad de Bogotá D.C.</w:t>
            </w:r>
          </w:p>
          <w:p w14:paraId="04CE79CE" w14:textId="77777777" w:rsidR="00464642" w:rsidRDefault="00464642">
            <w:pPr>
              <w:widowControl w:val="0"/>
              <w:spacing w:after="0" w:line="240" w:lineRule="auto"/>
              <w:jc w:val="both"/>
              <w:rPr>
                <w:sz w:val="20"/>
                <w:szCs w:val="20"/>
              </w:rPr>
            </w:pPr>
          </w:p>
        </w:tc>
      </w:tr>
    </w:tbl>
    <w:p w14:paraId="0D9C50C7" w14:textId="120BED84" w:rsidR="00027F0D" w:rsidRDefault="00027F0D">
      <w:pPr>
        <w:widowControl w:val="0"/>
        <w:spacing w:before="40" w:after="0" w:line="240" w:lineRule="auto"/>
        <w:ind w:left="110"/>
        <w:rPr>
          <w:color w:val="FFFFFF"/>
          <w:sz w:val="18"/>
          <w:szCs w:val="18"/>
        </w:rPr>
      </w:pPr>
    </w:p>
    <w:tbl>
      <w:tblPr>
        <w:tblStyle w:val="afff3"/>
        <w:tblW w:w="13431" w:type="dxa"/>
        <w:tblInd w:w="0" w:type="dxa"/>
        <w:tblBorders>
          <w:top w:val="single" w:sz="8" w:space="0" w:color="EEECE1" w:themeColor="background2"/>
          <w:left w:val="single" w:sz="8" w:space="0" w:color="EEECE1" w:themeColor="background2"/>
          <w:bottom w:val="single" w:sz="8" w:space="0" w:color="EEECE1" w:themeColor="background2"/>
          <w:right w:val="single" w:sz="8" w:space="0" w:color="EEECE1" w:themeColor="background2"/>
          <w:insideH w:val="single" w:sz="8" w:space="0" w:color="EEECE1" w:themeColor="background2"/>
          <w:insideV w:val="single" w:sz="8" w:space="0" w:color="EEECE1" w:themeColor="background2"/>
        </w:tblBorders>
        <w:tblLayout w:type="fixed"/>
        <w:tblLook w:val="0600" w:firstRow="0" w:lastRow="0" w:firstColumn="0" w:lastColumn="0" w:noHBand="1" w:noVBand="1"/>
      </w:tblPr>
      <w:tblGrid>
        <w:gridCol w:w="2565"/>
        <w:gridCol w:w="1500"/>
        <w:gridCol w:w="1245"/>
        <w:gridCol w:w="1530"/>
        <w:gridCol w:w="6591"/>
      </w:tblGrid>
      <w:tr w:rsidR="00464642" w14:paraId="7407AD6B" w14:textId="77777777" w:rsidTr="006025AD">
        <w:trPr>
          <w:trHeight w:val="420"/>
          <w:tblHeader/>
        </w:trPr>
        <w:tc>
          <w:tcPr>
            <w:tcW w:w="2565" w:type="dxa"/>
            <w:shd w:val="clear" w:color="auto" w:fill="DBE5F1"/>
            <w:tcMar>
              <w:top w:w="100" w:type="dxa"/>
              <w:left w:w="100" w:type="dxa"/>
              <w:bottom w:w="100" w:type="dxa"/>
              <w:right w:w="100" w:type="dxa"/>
            </w:tcMar>
          </w:tcPr>
          <w:p w14:paraId="6DC5DCD6" w14:textId="312F0678" w:rsidR="00464642" w:rsidRDefault="00416049">
            <w:pPr>
              <w:widowControl w:val="0"/>
              <w:spacing w:after="0" w:line="240" w:lineRule="auto"/>
              <w:jc w:val="center"/>
              <w:rPr>
                <w:b/>
              </w:rPr>
            </w:pPr>
            <w:r>
              <w:rPr>
                <w:b/>
              </w:rPr>
              <w:t>Meta</w:t>
            </w:r>
          </w:p>
        </w:tc>
        <w:tc>
          <w:tcPr>
            <w:tcW w:w="1500" w:type="dxa"/>
            <w:shd w:val="clear" w:color="auto" w:fill="DBE5F1"/>
            <w:tcMar>
              <w:top w:w="100" w:type="dxa"/>
              <w:left w:w="100" w:type="dxa"/>
              <w:bottom w:w="100" w:type="dxa"/>
              <w:right w:w="100" w:type="dxa"/>
            </w:tcMar>
          </w:tcPr>
          <w:p w14:paraId="5AB5ED50" w14:textId="77777777" w:rsidR="00464642" w:rsidRDefault="00416049">
            <w:pPr>
              <w:widowControl w:val="0"/>
              <w:spacing w:after="0" w:line="240" w:lineRule="auto"/>
              <w:jc w:val="center"/>
              <w:rPr>
                <w:b/>
              </w:rPr>
            </w:pPr>
            <w:r>
              <w:rPr>
                <w:b/>
              </w:rPr>
              <w:t>Magnitud</w:t>
            </w:r>
          </w:p>
          <w:p w14:paraId="105DE9C3" w14:textId="77777777" w:rsidR="00464642" w:rsidRDefault="00416049">
            <w:pPr>
              <w:widowControl w:val="0"/>
              <w:spacing w:after="0" w:line="240" w:lineRule="auto"/>
              <w:jc w:val="center"/>
              <w:rPr>
                <w:b/>
              </w:rPr>
            </w:pPr>
            <w:r>
              <w:rPr>
                <w:b/>
              </w:rPr>
              <w:t>Programada</w:t>
            </w:r>
          </w:p>
        </w:tc>
        <w:tc>
          <w:tcPr>
            <w:tcW w:w="1245" w:type="dxa"/>
            <w:shd w:val="clear" w:color="auto" w:fill="DBE5F1"/>
            <w:tcMar>
              <w:top w:w="100" w:type="dxa"/>
              <w:left w:w="100" w:type="dxa"/>
              <w:bottom w:w="100" w:type="dxa"/>
              <w:right w:w="100" w:type="dxa"/>
            </w:tcMar>
          </w:tcPr>
          <w:p w14:paraId="7DDD8D31" w14:textId="77777777" w:rsidR="00464642" w:rsidRDefault="00416049">
            <w:pPr>
              <w:widowControl w:val="0"/>
              <w:spacing w:after="0" w:line="240" w:lineRule="auto"/>
              <w:jc w:val="center"/>
              <w:rPr>
                <w:b/>
              </w:rPr>
            </w:pPr>
            <w:r>
              <w:rPr>
                <w:b/>
              </w:rPr>
              <w:t xml:space="preserve">Magnitud </w:t>
            </w:r>
          </w:p>
          <w:p w14:paraId="377E8936" w14:textId="77777777" w:rsidR="00464642" w:rsidRDefault="00416049">
            <w:pPr>
              <w:widowControl w:val="0"/>
              <w:spacing w:after="0" w:line="240" w:lineRule="auto"/>
              <w:jc w:val="center"/>
              <w:rPr>
                <w:b/>
              </w:rPr>
            </w:pPr>
            <w:r>
              <w:rPr>
                <w:b/>
              </w:rPr>
              <w:t>Ejecutada</w:t>
            </w:r>
          </w:p>
        </w:tc>
        <w:tc>
          <w:tcPr>
            <w:tcW w:w="1530" w:type="dxa"/>
            <w:shd w:val="clear" w:color="auto" w:fill="DBE5F1"/>
            <w:tcMar>
              <w:top w:w="100" w:type="dxa"/>
              <w:left w:w="100" w:type="dxa"/>
              <w:bottom w:w="100" w:type="dxa"/>
              <w:right w:w="100" w:type="dxa"/>
            </w:tcMar>
          </w:tcPr>
          <w:p w14:paraId="0C62B290" w14:textId="77777777" w:rsidR="00464642" w:rsidRDefault="00416049">
            <w:pPr>
              <w:widowControl w:val="0"/>
              <w:spacing w:after="0" w:line="240" w:lineRule="auto"/>
              <w:jc w:val="center"/>
              <w:rPr>
                <w:b/>
              </w:rPr>
            </w:pPr>
            <w:r>
              <w:rPr>
                <w:b/>
              </w:rPr>
              <w:t>% de Cumplimiento</w:t>
            </w:r>
          </w:p>
        </w:tc>
        <w:tc>
          <w:tcPr>
            <w:tcW w:w="6591" w:type="dxa"/>
            <w:shd w:val="clear" w:color="auto" w:fill="DBE5F1"/>
            <w:tcMar>
              <w:top w:w="100" w:type="dxa"/>
              <w:left w:w="100" w:type="dxa"/>
              <w:bottom w:w="100" w:type="dxa"/>
              <w:right w:w="100" w:type="dxa"/>
            </w:tcMar>
          </w:tcPr>
          <w:p w14:paraId="4168FEE7" w14:textId="77777777" w:rsidR="00464642" w:rsidRDefault="00416049">
            <w:pPr>
              <w:widowControl w:val="0"/>
              <w:spacing w:after="0" w:line="240" w:lineRule="auto"/>
              <w:jc w:val="center"/>
              <w:rPr>
                <w:b/>
              </w:rPr>
            </w:pPr>
            <w:r>
              <w:rPr>
                <w:b/>
              </w:rPr>
              <w:t>Logros, Avances y Dificultades</w:t>
            </w:r>
          </w:p>
        </w:tc>
      </w:tr>
      <w:tr w:rsidR="00464642" w14:paraId="2600C282" w14:textId="77777777" w:rsidTr="006025AD">
        <w:trPr>
          <w:trHeight w:val="267"/>
        </w:trPr>
        <w:tc>
          <w:tcPr>
            <w:tcW w:w="2565" w:type="dxa"/>
            <w:shd w:val="clear" w:color="auto" w:fill="DBE5F1"/>
            <w:tcMar>
              <w:top w:w="100" w:type="dxa"/>
              <w:left w:w="100" w:type="dxa"/>
              <w:bottom w:w="100" w:type="dxa"/>
              <w:right w:w="100" w:type="dxa"/>
            </w:tcMar>
          </w:tcPr>
          <w:p w14:paraId="6594E957" w14:textId="77777777" w:rsidR="00464642" w:rsidRDefault="00416049">
            <w:pPr>
              <w:widowControl w:val="0"/>
              <w:spacing w:after="0" w:line="240" w:lineRule="auto"/>
              <w:rPr>
                <w:sz w:val="18"/>
                <w:szCs w:val="18"/>
              </w:rPr>
            </w:pPr>
            <w:r>
              <w:rPr>
                <w:sz w:val="18"/>
                <w:szCs w:val="18"/>
              </w:rPr>
              <w:t xml:space="preserve">2286 - Desarrollar el 100 % de la estrategia de mejora y sostenibilidad del Modelo Integrado De Planeación y Gestión - </w:t>
            </w:r>
            <w:proofErr w:type="spellStart"/>
            <w:r>
              <w:rPr>
                <w:sz w:val="18"/>
                <w:szCs w:val="18"/>
              </w:rPr>
              <w:t>Mipg</w:t>
            </w:r>
            <w:proofErr w:type="spellEnd"/>
            <w:r>
              <w:rPr>
                <w:sz w:val="18"/>
                <w:szCs w:val="18"/>
              </w:rPr>
              <w:t xml:space="preserve"> en las entidades </w:t>
            </w:r>
            <w:r>
              <w:rPr>
                <w:sz w:val="18"/>
                <w:szCs w:val="18"/>
              </w:rPr>
              <w:lastRenderedPageBreak/>
              <w:t>del Sector Movilidad</w:t>
            </w:r>
          </w:p>
        </w:tc>
        <w:tc>
          <w:tcPr>
            <w:tcW w:w="1500" w:type="dxa"/>
            <w:shd w:val="clear" w:color="auto" w:fill="DBE5F1"/>
            <w:tcMar>
              <w:top w:w="100" w:type="dxa"/>
              <w:left w:w="100" w:type="dxa"/>
              <w:bottom w:w="100" w:type="dxa"/>
              <w:right w:w="100" w:type="dxa"/>
            </w:tcMar>
          </w:tcPr>
          <w:p w14:paraId="1CC89808" w14:textId="77777777" w:rsidR="00464642" w:rsidRDefault="00416049">
            <w:pPr>
              <w:widowControl w:val="0"/>
              <w:spacing w:after="0" w:line="240" w:lineRule="auto"/>
              <w:jc w:val="center"/>
              <w:rPr>
                <w:sz w:val="18"/>
                <w:szCs w:val="18"/>
              </w:rPr>
            </w:pPr>
            <w:r>
              <w:rPr>
                <w:sz w:val="18"/>
                <w:szCs w:val="18"/>
              </w:rPr>
              <w:lastRenderedPageBreak/>
              <w:t>100%</w:t>
            </w:r>
          </w:p>
        </w:tc>
        <w:tc>
          <w:tcPr>
            <w:tcW w:w="1245" w:type="dxa"/>
            <w:shd w:val="clear" w:color="auto" w:fill="DBE5F1"/>
            <w:tcMar>
              <w:top w:w="100" w:type="dxa"/>
              <w:left w:w="100" w:type="dxa"/>
              <w:bottom w:w="100" w:type="dxa"/>
              <w:right w:w="100" w:type="dxa"/>
            </w:tcMar>
          </w:tcPr>
          <w:p w14:paraId="567D342F" w14:textId="77777777" w:rsidR="00464642" w:rsidRDefault="00416049">
            <w:pPr>
              <w:widowControl w:val="0"/>
              <w:spacing w:after="0" w:line="240" w:lineRule="auto"/>
              <w:jc w:val="center"/>
              <w:rPr>
                <w:sz w:val="18"/>
                <w:szCs w:val="18"/>
              </w:rPr>
            </w:pPr>
            <w:r>
              <w:rPr>
                <w:sz w:val="18"/>
                <w:szCs w:val="18"/>
              </w:rPr>
              <w:t>100%</w:t>
            </w:r>
          </w:p>
        </w:tc>
        <w:tc>
          <w:tcPr>
            <w:tcW w:w="1530" w:type="dxa"/>
            <w:shd w:val="clear" w:color="auto" w:fill="DBE5F1"/>
            <w:tcMar>
              <w:top w:w="100" w:type="dxa"/>
              <w:left w:w="100" w:type="dxa"/>
              <w:bottom w:w="100" w:type="dxa"/>
              <w:right w:w="100" w:type="dxa"/>
            </w:tcMar>
          </w:tcPr>
          <w:p w14:paraId="1C47E1A4" w14:textId="77777777" w:rsidR="00464642" w:rsidRDefault="00416049">
            <w:pPr>
              <w:widowControl w:val="0"/>
              <w:spacing w:after="0" w:line="240" w:lineRule="auto"/>
              <w:jc w:val="center"/>
              <w:rPr>
                <w:sz w:val="18"/>
                <w:szCs w:val="18"/>
              </w:rPr>
            </w:pPr>
            <w:r>
              <w:rPr>
                <w:sz w:val="18"/>
                <w:szCs w:val="18"/>
              </w:rPr>
              <w:t>100%</w:t>
            </w:r>
          </w:p>
        </w:tc>
        <w:tc>
          <w:tcPr>
            <w:tcW w:w="6591" w:type="dxa"/>
            <w:shd w:val="clear" w:color="auto" w:fill="DBE5F1"/>
            <w:tcMar>
              <w:top w:w="100" w:type="dxa"/>
              <w:left w:w="100" w:type="dxa"/>
              <w:bottom w:w="100" w:type="dxa"/>
              <w:right w:w="100" w:type="dxa"/>
            </w:tcMar>
          </w:tcPr>
          <w:p w14:paraId="0CA82001" w14:textId="77777777" w:rsidR="00464642" w:rsidRDefault="00416049">
            <w:pPr>
              <w:widowControl w:val="0"/>
              <w:spacing w:after="0" w:line="240" w:lineRule="auto"/>
              <w:jc w:val="both"/>
              <w:rPr>
                <w:sz w:val="18"/>
                <w:szCs w:val="18"/>
              </w:rPr>
            </w:pPr>
            <w:r>
              <w:rPr>
                <w:sz w:val="18"/>
                <w:szCs w:val="18"/>
              </w:rPr>
              <w:t>En lo corrido del Plan de Desarrollo, se han llevado a cabo diversas actividades clave orientadas al fortalecimiento y sostenibilidad del Modelo Integrado de Planeación y Gestión (MIPG), destacando las siguientes acciones:</w:t>
            </w:r>
          </w:p>
          <w:p w14:paraId="28E08E85" w14:textId="77777777" w:rsidR="00464642" w:rsidRDefault="00416049">
            <w:pPr>
              <w:widowControl w:val="0"/>
              <w:spacing w:after="0" w:line="240" w:lineRule="auto"/>
              <w:jc w:val="both"/>
              <w:rPr>
                <w:sz w:val="18"/>
                <w:szCs w:val="18"/>
              </w:rPr>
            </w:pPr>
            <w:r>
              <w:rPr>
                <w:sz w:val="18"/>
                <w:szCs w:val="18"/>
              </w:rPr>
              <w:t xml:space="preserve">1.        Implementación del MIPG: Se avanzó en la implementación del MIPG, facilitando la consulta oportuna de los documentos públicos del Sistema de Gestión de la Entidad, </w:t>
            </w:r>
            <w:r>
              <w:rPr>
                <w:sz w:val="18"/>
                <w:szCs w:val="18"/>
              </w:rPr>
              <w:lastRenderedPageBreak/>
              <w:t>en cumplimiento de la Ley 1712 de 2014.</w:t>
            </w:r>
          </w:p>
          <w:p w14:paraId="49C85B15" w14:textId="77777777" w:rsidR="00464642" w:rsidRDefault="00416049">
            <w:pPr>
              <w:widowControl w:val="0"/>
              <w:spacing w:after="0" w:line="240" w:lineRule="auto"/>
              <w:jc w:val="both"/>
              <w:rPr>
                <w:sz w:val="18"/>
                <w:szCs w:val="18"/>
              </w:rPr>
            </w:pPr>
            <w:r>
              <w:rPr>
                <w:sz w:val="18"/>
                <w:szCs w:val="18"/>
              </w:rPr>
              <w:t>2.        Jornadas de Apropiación y Capacitación: A través de diversas jornadas de apropiación, se impactaron a más de 1,200 colaboradores de la Entidad, fortaleciendo el conocimiento sobre las políticas del MIPG. Esto contribuye a mejorar la atención de trámites y servicios a la ciudadanía.</w:t>
            </w:r>
          </w:p>
          <w:p w14:paraId="265B1B82" w14:textId="77777777" w:rsidR="00464642" w:rsidRDefault="00416049">
            <w:pPr>
              <w:widowControl w:val="0"/>
              <w:spacing w:after="0" w:line="240" w:lineRule="auto"/>
              <w:jc w:val="both"/>
              <w:rPr>
                <w:sz w:val="18"/>
                <w:szCs w:val="18"/>
              </w:rPr>
            </w:pPr>
            <w:r>
              <w:rPr>
                <w:sz w:val="18"/>
                <w:szCs w:val="18"/>
              </w:rPr>
              <w:t>3.        Gestión del Riesgo: Se garantizó la implementación y funcionamiento de los controles necesarios para prevenir la materialización de los riesgos identificados, asegurando un entorno más seguro y controlado.</w:t>
            </w:r>
          </w:p>
          <w:p w14:paraId="103B0CC4" w14:textId="77777777" w:rsidR="00464642" w:rsidRDefault="00416049">
            <w:pPr>
              <w:widowControl w:val="0"/>
              <w:spacing w:after="0" w:line="240" w:lineRule="auto"/>
              <w:jc w:val="both"/>
              <w:rPr>
                <w:sz w:val="18"/>
                <w:szCs w:val="18"/>
              </w:rPr>
            </w:pPr>
            <w:r>
              <w:rPr>
                <w:sz w:val="18"/>
                <w:szCs w:val="18"/>
              </w:rPr>
              <w:t>4.        Auditorías de Seguimiento a Certificaciones ISO: Se identificaron oportunidades de mejora para el desarrollo de las auditorías de seguimiento a la certificación de los Sistemas de Gestión de Seguridad de la Información (SGSI) y Continuidad del Negocio (SGCN), en cumplimiento con las normas ISO 27001 y 22301:2019. Esto permitió que la Entidad mantuviera vigentes las certificaciones de ambos sistemas. Además, se mantuvo al día la documentación relacionada con políticas, matriz de riesgos, identificación de activos, escenarios de interrupción y otras actividades bajo la responsabilidad de la OTIC. También se promovió la apropiación de buenas prácticas de seguridad de la información entre todo el personal de la entidad.</w:t>
            </w:r>
          </w:p>
          <w:p w14:paraId="44657A11" w14:textId="77777777" w:rsidR="00464642" w:rsidRDefault="00416049">
            <w:pPr>
              <w:widowControl w:val="0"/>
              <w:spacing w:after="0" w:line="240" w:lineRule="auto"/>
              <w:jc w:val="both"/>
              <w:rPr>
                <w:sz w:val="18"/>
                <w:szCs w:val="18"/>
              </w:rPr>
            </w:pPr>
            <w:r>
              <w:rPr>
                <w:sz w:val="18"/>
                <w:szCs w:val="18"/>
              </w:rPr>
              <w:t xml:space="preserve">5.        Sistema de Administración de Riesgos de Lavado de Activos y Financiación del Terrorismo (SARLAFT): Desde la Subsecretaría de Gestión Corporativa, se inició la implementación del SARLAFT con el fin de fortalecer la estrategia de transparencia. En este proceso, se definió la política de SARLAFT, se implementaron los controles necesarios, se identificaron y analizaron los riesgos, y se establecieron pautas para la debida diligencia. Además, se socializaron temas relacionados con SARLAFT, transparencia, </w:t>
            </w:r>
            <w:proofErr w:type="spellStart"/>
            <w:r>
              <w:rPr>
                <w:sz w:val="18"/>
                <w:szCs w:val="18"/>
              </w:rPr>
              <w:t>anti-soborno</w:t>
            </w:r>
            <w:proofErr w:type="spellEnd"/>
            <w:r>
              <w:rPr>
                <w:sz w:val="18"/>
                <w:szCs w:val="18"/>
              </w:rPr>
              <w:t xml:space="preserve"> e integridad tanto con los funcionarios como con la ciudadanía.</w:t>
            </w:r>
          </w:p>
          <w:p w14:paraId="0408C73B" w14:textId="77777777" w:rsidR="00464642" w:rsidRDefault="00416049">
            <w:pPr>
              <w:widowControl w:val="0"/>
              <w:spacing w:after="0" w:line="240" w:lineRule="auto"/>
              <w:jc w:val="both"/>
              <w:rPr>
                <w:sz w:val="18"/>
                <w:szCs w:val="18"/>
              </w:rPr>
            </w:pPr>
            <w:r>
              <w:rPr>
                <w:sz w:val="18"/>
                <w:szCs w:val="18"/>
              </w:rPr>
              <w:t>6.        Auditorías de Gestión y Evaluación de Riesgos: Se realizaron los seguimientos, evaluaciones y auditorías de gestión, con un enfoque basado en riesgos, conforme al Plan Anual de Auditorías (PAAI) para la vigencia 2024. Estas actividades incluyeron roles estratégicos como el liderazgo, enfoque preventivo, evaluación de la gestión del riesgo, seguimiento y relación con los entes externos de control, todos cumplidos según lo programado.</w:t>
            </w:r>
          </w:p>
          <w:p w14:paraId="5FCFC8DF" w14:textId="77777777" w:rsidR="00464642" w:rsidRDefault="00416049">
            <w:pPr>
              <w:widowControl w:val="0"/>
              <w:spacing w:after="0" w:line="240" w:lineRule="auto"/>
              <w:jc w:val="both"/>
              <w:rPr>
                <w:sz w:val="18"/>
                <w:szCs w:val="18"/>
              </w:rPr>
            </w:pPr>
            <w:r>
              <w:rPr>
                <w:sz w:val="18"/>
                <w:szCs w:val="18"/>
              </w:rPr>
              <w:lastRenderedPageBreak/>
              <w:t>7.        Monitoreo del Programa de Transparencia y Ética Pública (PTEP): En 2024, se realizó el monitoreo del PTEP, alcanzando el 100% de cumplimiento en las actividades implementadas en los 9 componentes del programa. Asimismo, se llevaron a cabo actividades enfocadas en la lucha contra la corrupción y el fortalecimiento de la transparencia dentro de la entidad.</w:t>
            </w:r>
          </w:p>
          <w:p w14:paraId="4159F3D2" w14:textId="77777777" w:rsidR="00464642" w:rsidRDefault="00416049">
            <w:pPr>
              <w:widowControl w:val="0"/>
              <w:spacing w:after="0" w:line="240" w:lineRule="auto"/>
              <w:jc w:val="both"/>
              <w:rPr>
                <w:sz w:val="18"/>
                <w:szCs w:val="18"/>
              </w:rPr>
            </w:pPr>
            <w:r>
              <w:rPr>
                <w:sz w:val="18"/>
                <w:szCs w:val="18"/>
              </w:rPr>
              <w:t xml:space="preserve">8.        Mejoramiento Continuo en el Proceso Jurídico: *Atención oportuna de los requerimientos contractuales realizados por las distintas áreas de la entidad, satisfaciendo las necesidades de la Secretaría en materia de contratación y contribuyendo a que la entidad pueda cumplir con su misión institucional. *Defender de manera adecuada los intereses de la Secretaría Distrital de Movilidad en los </w:t>
            </w:r>
            <w:proofErr w:type="gramStart"/>
            <w:r>
              <w:rPr>
                <w:sz w:val="18"/>
                <w:szCs w:val="18"/>
              </w:rPr>
              <w:t>procesos  judiciales</w:t>
            </w:r>
            <w:proofErr w:type="gramEnd"/>
            <w:r>
              <w:rPr>
                <w:sz w:val="18"/>
                <w:szCs w:val="18"/>
              </w:rPr>
              <w:t xml:space="preserve"> y prejudiciales, garantizando una representación efectiva y eficiente, permitiendo el ahorro de los recursos por condenas.</w:t>
            </w:r>
          </w:p>
          <w:p w14:paraId="32EB8CD7" w14:textId="77777777" w:rsidR="00464642" w:rsidRDefault="00464642">
            <w:pPr>
              <w:widowControl w:val="0"/>
              <w:spacing w:after="0" w:line="240" w:lineRule="auto"/>
              <w:jc w:val="both"/>
              <w:rPr>
                <w:sz w:val="18"/>
                <w:szCs w:val="18"/>
              </w:rPr>
            </w:pPr>
          </w:p>
          <w:p w14:paraId="1186EDDF" w14:textId="77777777" w:rsidR="00464642" w:rsidRDefault="00416049">
            <w:pPr>
              <w:widowControl w:val="0"/>
              <w:spacing w:after="0" w:line="240" w:lineRule="auto"/>
              <w:jc w:val="both"/>
              <w:rPr>
                <w:sz w:val="18"/>
                <w:szCs w:val="18"/>
              </w:rPr>
            </w:pPr>
            <w:r>
              <w:rPr>
                <w:sz w:val="18"/>
                <w:szCs w:val="18"/>
              </w:rPr>
              <w:t xml:space="preserve">*Información constante a la ciudadanía sobre la normativa a expedir a través de actos administrativos, permitiendo su participación mediante observaciones y comentarios. Además, de la publicación de los borradores de los proyectos de actos administrativos en </w:t>
            </w:r>
            <w:proofErr w:type="spellStart"/>
            <w:r>
              <w:rPr>
                <w:sz w:val="18"/>
                <w:szCs w:val="18"/>
              </w:rPr>
              <w:t>Legalbog</w:t>
            </w:r>
            <w:proofErr w:type="spellEnd"/>
            <w:r>
              <w:rPr>
                <w:sz w:val="18"/>
                <w:szCs w:val="18"/>
              </w:rPr>
              <w:t xml:space="preserve"> Participa y en las redes sociales de SDM, fomentando su difusión masiva y la participación ciudadana. *El recaudo de recursos por multas, sanciones de tránsito y otros cobros mediante los procesos de cobro persuasivo y coactivo establecidos en el Manual de Cobro Administrativo Coactivo de la SDM, recaudando un monto de $414.651.206.925 que representa el 110% de cumplimiento de la meta de recaudo, lo que permitirá aportar a recursos económicos que se destinarán posteriormente a la gestión de planes, programas y proyectos propios de la misión de la Secretaría, en coordinación con la Alcaldía Mayor de Bogotá en beneficio de la ciudadanía.</w:t>
            </w:r>
          </w:p>
          <w:p w14:paraId="00604EB8" w14:textId="77777777" w:rsidR="00464642" w:rsidRDefault="00416049">
            <w:pPr>
              <w:widowControl w:val="0"/>
              <w:spacing w:after="0" w:line="240" w:lineRule="auto"/>
              <w:jc w:val="both"/>
              <w:rPr>
                <w:sz w:val="18"/>
                <w:szCs w:val="18"/>
              </w:rPr>
            </w:pPr>
            <w:r>
              <w:rPr>
                <w:sz w:val="18"/>
                <w:szCs w:val="18"/>
              </w:rPr>
              <w:t>Impacto y/o beneficios: El impulso a la mejora continua impacta positivamente en la gestión pública, garantizando una administración eficiente en beneficio de la ciudadanía y promoviendo la movilidad sostenible.</w:t>
            </w:r>
          </w:p>
          <w:p w14:paraId="09B89FFF" w14:textId="77777777" w:rsidR="00464642" w:rsidRDefault="00416049">
            <w:pPr>
              <w:widowControl w:val="0"/>
              <w:spacing w:after="0" w:line="240" w:lineRule="auto"/>
              <w:jc w:val="both"/>
              <w:rPr>
                <w:sz w:val="18"/>
                <w:szCs w:val="18"/>
              </w:rPr>
            </w:pPr>
            <w:r>
              <w:rPr>
                <w:sz w:val="18"/>
                <w:szCs w:val="18"/>
              </w:rPr>
              <w:t>Contribuimos al desempeño ambiental, al cambio climático y al cumplimiento de la normatividad vigente. Además, aseguramos la correcta prestación de los servicios corporativos demandados por la entidad y su adecuado funcionamiento con las partes interesadas.</w:t>
            </w:r>
          </w:p>
          <w:p w14:paraId="0ADEA121" w14:textId="77777777" w:rsidR="00464642" w:rsidRDefault="00416049">
            <w:pPr>
              <w:widowControl w:val="0"/>
              <w:spacing w:after="0" w:line="240" w:lineRule="auto"/>
              <w:jc w:val="both"/>
              <w:rPr>
                <w:sz w:val="18"/>
                <w:szCs w:val="18"/>
              </w:rPr>
            </w:pPr>
            <w:r>
              <w:rPr>
                <w:sz w:val="18"/>
                <w:szCs w:val="18"/>
              </w:rPr>
              <w:lastRenderedPageBreak/>
              <w:t>La implementación del software MIPG y la consolidación del equipo humano facilitan el seguimiento al Modelo Integrado de Planeación y Gestión, mejorando la administración y el control de los objetivos establecidos, lo que beneficia a la ciudadanía y a los grupos de interés, contribuyendo a una Bogotá más segura y sostenible.</w:t>
            </w:r>
          </w:p>
          <w:p w14:paraId="19D82647" w14:textId="77777777" w:rsidR="00464642" w:rsidRDefault="00464642">
            <w:pPr>
              <w:widowControl w:val="0"/>
              <w:spacing w:after="0" w:line="240" w:lineRule="auto"/>
              <w:jc w:val="center"/>
              <w:rPr>
                <w:sz w:val="18"/>
                <w:szCs w:val="18"/>
              </w:rPr>
            </w:pPr>
          </w:p>
          <w:p w14:paraId="14413E53" w14:textId="06AB3B3D" w:rsidR="00464642" w:rsidRDefault="00464642">
            <w:pPr>
              <w:widowControl w:val="0"/>
              <w:spacing w:after="0" w:line="240" w:lineRule="auto"/>
              <w:jc w:val="center"/>
              <w:rPr>
                <w:sz w:val="18"/>
                <w:szCs w:val="18"/>
              </w:rPr>
            </w:pPr>
          </w:p>
        </w:tc>
      </w:tr>
    </w:tbl>
    <w:p w14:paraId="0632AC3A" w14:textId="21861DB9" w:rsidR="00464642" w:rsidRDefault="00464642"/>
    <w:p w14:paraId="77449C3F" w14:textId="48675B50" w:rsidR="00464642" w:rsidRDefault="00416049">
      <w:pPr>
        <w:tabs>
          <w:tab w:val="left" w:pos="3465"/>
        </w:tabs>
        <w:rPr>
          <w:b/>
        </w:rPr>
      </w:pPr>
      <w:r>
        <w:tab/>
      </w:r>
    </w:p>
    <w:p w14:paraId="1E2B0916" w14:textId="0D8F4948" w:rsidR="00464642" w:rsidRDefault="00464642">
      <w:pPr>
        <w:ind w:firstLine="284"/>
      </w:pPr>
    </w:p>
    <w:sectPr w:rsidR="00464642" w:rsidSect="00E74584">
      <w:pgSz w:w="16834" w:h="11909" w:orient="landscape"/>
      <w:pgMar w:top="1701" w:right="1560" w:bottom="1701" w:left="1843" w:header="567" w:footer="132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63DD1" w14:textId="77777777" w:rsidR="00F22D2B" w:rsidRDefault="00F22D2B">
      <w:pPr>
        <w:spacing w:after="0" w:line="240" w:lineRule="auto"/>
      </w:pPr>
      <w:r>
        <w:separator/>
      </w:r>
    </w:p>
  </w:endnote>
  <w:endnote w:type="continuationSeparator" w:id="0">
    <w:p w14:paraId="4AD77E2B" w14:textId="77777777" w:rsidR="00F22D2B" w:rsidRDefault="00F22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EE53A479-7683-4F1C-99D3-F763F1DFE22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embedRegular r:id="rId2" w:fontKey="{A2E16876-3AE0-4FD3-8E8D-AE4DEEFBC94F}"/>
  </w:font>
  <w:font w:name="Calibri">
    <w:panose1 w:val="020F0502020204030204"/>
    <w:charset w:val="00"/>
    <w:family w:val="swiss"/>
    <w:pitch w:val="variable"/>
    <w:sig w:usb0="E4002EFF" w:usb1="C200247B" w:usb2="00000009" w:usb3="00000000" w:csb0="000001FF" w:csb1="00000000"/>
    <w:embedRegular r:id="rId3" w:fontKey="{E36746B3-AD93-4449-A09C-2DCB9C3231F1}"/>
    <w:embedBold r:id="rId4" w:fontKey="{5E003432-0C30-4D9F-9113-AFFF3F44EC2A}"/>
    <w:embedItalic r:id="rId5" w:fontKey="{46984E4C-2FE8-406B-8C2C-0435B6EEE7A6}"/>
    <w:embedBoldItalic r:id="rId6" w:fontKey="{CBB76EDD-6B38-41D9-B214-D48115A6B8B5}"/>
  </w:font>
  <w:font w:name="Calibri Light">
    <w:panose1 w:val="020F0302020204030204"/>
    <w:charset w:val="00"/>
    <w:family w:val="swiss"/>
    <w:pitch w:val="variable"/>
    <w:sig w:usb0="E4002EFF" w:usb1="C200247B" w:usb2="00000009" w:usb3="00000000" w:csb0="000001FF" w:csb1="00000000"/>
    <w:embedRegular r:id="rId7" w:fontKey="{00128D1B-4414-4F86-809A-A92916F032B3}"/>
    <w:embedBold r:id="rId8" w:fontKey="{A278EA23-D2B4-4E04-A6E3-CADE5E1A9602}"/>
    <w:embedItalic r:id="rId9" w:fontKey="{9FE16BC9-011C-4D61-B218-19940714CB73}"/>
    <w:embedBoldItalic r:id="rId10" w:fontKey="{4EC2047F-74B1-4C23-B400-449682168086}"/>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2CA80D82-0310-446E-88E1-F5E8C7C8E6B3}"/>
  </w:font>
  <w:font w:name="Century Schoolbook">
    <w:panose1 w:val="02040604050505020304"/>
    <w:charset w:val="00"/>
    <w:family w:val="roman"/>
    <w:pitch w:val="variable"/>
    <w:sig w:usb0="00000287" w:usb1="00000000" w:usb2="00000000" w:usb3="00000000" w:csb0="0000009F" w:csb1="00000000"/>
    <w:embedRegular r:id="rId12" w:fontKey="{42173671-83D0-4C1C-9825-30665563B2C1}"/>
  </w:font>
  <w:font w:name="Garamond">
    <w:panose1 w:val="02020404030301010803"/>
    <w:charset w:val="00"/>
    <w:family w:val="roman"/>
    <w:pitch w:val="variable"/>
    <w:sig w:usb0="00000287" w:usb1="00000000" w:usb2="00000000" w:usb3="00000000" w:csb0="0000009F" w:csb1="00000000"/>
    <w:embedRegular r:id="rId13" w:fontKey="{74C1A7B2-2B56-4293-8F2B-2B790EBD02B8}"/>
  </w:font>
  <w:font w:name="Cambria">
    <w:panose1 w:val="02040503050406030204"/>
    <w:charset w:val="00"/>
    <w:family w:val="roman"/>
    <w:pitch w:val="variable"/>
    <w:sig w:usb0="E00006FF" w:usb1="420024FF" w:usb2="02000000" w:usb3="00000000" w:csb0="0000019F" w:csb1="00000000"/>
    <w:embedRegular r:id="rId14" w:fontKey="{93F01A8C-DB31-46E5-AA85-AD0E383E49D2}"/>
    <w:embedBoldItalic r:id="rId15" w:fontKey="{9E039AB8-300B-4A2B-B3A5-2CDC1FBD1D82}"/>
  </w:font>
  <w:font w:name="Arial Narrow">
    <w:panose1 w:val="020B0606020202030204"/>
    <w:charset w:val="00"/>
    <w:family w:val="swiss"/>
    <w:pitch w:val="variable"/>
    <w:sig w:usb0="00000287" w:usb1="00000800" w:usb2="00000000" w:usb3="00000000" w:csb0="0000009F" w:csb1="00000000"/>
    <w:embedRegular r:id="rId16" w:fontKey="{A7CA624F-BE4C-4CC7-894E-3AD937F0D142}"/>
    <w:embedBold r:id="rId17" w:fontKey="{40F342AA-C2D1-4004-B63E-74AD110422E3}"/>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8" w:fontKey="{4B987EF6-E119-44B1-A3D3-F58CEB121D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161C" w14:textId="00E84D2A" w:rsidR="00464642" w:rsidRDefault="00416049">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25F61">
      <w:rPr>
        <w:noProof/>
        <w:color w:val="000000"/>
      </w:rPr>
      <w:t>4</w:t>
    </w:r>
    <w:r>
      <w:rPr>
        <w:color w:val="000000"/>
      </w:rPr>
      <w:fldChar w:fldCharType="end"/>
    </w:r>
  </w:p>
  <w:p w14:paraId="3D173312" w14:textId="77777777" w:rsidR="00464642" w:rsidRDefault="00416049">
    <w:pPr>
      <w:spacing w:after="0" w:line="240" w:lineRule="auto"/>
      <w:rPr>
        <w:rFonts w:ascii="Arial" w:eastAsia="Arial" w:hAnsi="Arial" w:cs="Arial"/>
        <w:b/>
        <w:sz w:val="18"/>
        <w:szCs w:val="18"/>
      </w:rPr>
    </w:pPr>
    <w:r>
      <w:rPr>
        <w:rFonts w:ascii="Arial" w:eastAsia="Arial" w:hAnsi="Arial" w:cs="Arial"/>
        <w:sz w:val="14"/>
        <w:szCs w:val="14"/>
      </w:rPr>
      <w:t xml:space="preserve"> PA01-PR01-MD01 V.3.0</w:t>
    </w:r>
    <w:r>
      <w:rPr>
        <w:rFonts w:ascii="Arial" w:eastAsia="Arial" w:hAnsi="Arial" w:cs="Arial"/>
        <w:color w:val="808080"/>
        <w:sz w:val="14"/>
        <w:szCs w:val="14"/>
      </w:rPr>
      <w:t xml:space="preserve"> </w:t>
    </w:r>
    <w:r>
      <w:rPr>
        <w:noProof/>
      </w:rPr>
      <w:drawing>
        <wp:anchor distT="0" distB="0" distL="114300" distR="114300" simplePos="0" relativeHeight="251660288" behindDoc="0" locked="0" layoutInCell="1" hidden="0" allowOverlap="1" wp14:anchorId="085E5CF4" wp14:editId="2720AA0D">
          <wp:simplePos x="0" y="0"/>
          <wp:positionH relativeFrom="column">
            <wp:posOffset>4665345</wp:posOffset>
          </wp:positionH>
          <wp:positionV relativeFrom="paragraph">
            <wp:posOffset>39207</wp:posOffset>
          </wp:positionV>
          <wp:extent cx="735330" cy="754380"/>
          <wp:effectExtent l="0" t="0" r="0" b="0"/>
          <wp:wrapSquare wrapText="bothSides" distT="0" distB="0" distL="114300" distR="114300"/>
          <wp:docPr id="29" name="image1.jp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con confianza media"/>
                  <pic:cNvPicPr preferRelativeResize="0"/>
                </pic:nvPicPr>
                <pic:blipFill>
                  <a:blip r:embed="rId1"/>
                  <a:srcRect/>
                  <a:stretch>
                    <a:fillRect/>
                  </a:stretch>
                </pic:blipFill>
                <pic:spPr>
                  <a:xfrm>
                    <a:off x="0" y="0"/>
                    <a:ext cx="735330" cy="754380"/>
                  </a:xfrm>
                  <a:prstGeom prst="rect">
                    <a:avLst/>
                  </a:prstGeom>
                  <a:ln/>
                </pic:spPr>
              </pic:pic>
            </a:graphicData>
          </a:graphic>
        </wp:anchor>
      </w:drawing>
    </w:r>
  </w:p>
  <w:p w14:paraId="3E0F1FF7" w14:textId="6DE6AE9F" w:rsidR="00464642" w:rsidRDefault="00416049">
    <w:pPr>
      <w:pBdr>
        <w:top w:val="nil"/>
        <w:left w:val="nil"/>
        <w:bottom w:val="nil"/>
        <w:right w:val="nil"/>
        <w:between w:val="nil"/>
      </w:pBdr>
      <w:tabs>
        <w:tab w:val="center" w:pos="4252"/>
        <w:tab w:val="right" w:pos="8504"/>
      </w:tabs>
      <w:spacing w:after="0" w:line="240" w:lineRule="auto"/>
      <w:rPr>
        <w:color w:val="000000"/>
      </w:rPr>
    </w:pPr>
    <w:r>
      <w:rPr>
        <w:rFonts w:ascii="Arial" w:eastAsia="Arial" w:hAnsi="Arial" w:cs="Arial"/>
        <w:b/>
        <w:color w:val="000000"/>
        <w:sz w:val="18"/>
        <w:szCs w:val="18"/>
      </w:rPr>
      <w:t>Secretaría Distrital de Movilidad</w:t>
    </w:r>
    <w:r>
      <w:rPr>
        <w:rFonts w:ascii="Arial" w:eastAsia="Arial" w:hAnsi="Arial" w:cs="Arial"/>
        <w:color w:val="000000"/>
        <w:sz w:val="16"/>
        <w:szCs w:val="16"/>
      </w:rPr>
      <w:br/>
      <w:t>Calle 13 # 37 - 35</w:t>
    </w:r>
    <w:r>
      <w:rPr>
        <w:rFonts w:ascii="Arial" w:eastAsia="Arial" w:hAnsi="Arial" w:cs="Arial"/>
        <w:color w:val="000000"/>
        <w:sz w:val="16"/>
        <w:szCs w:val="16"/>
      </w:rPr>
      <w:br/>
      <w:t>Teléfono: (1) 364 9400</w:t>
    </w:r>
    <w:r>
      <w:rPr>
        <w:rFonts w:ascii="Arial" w:eastAsia="Arial" w:hAnsi="Arial" w:cs="Arial"/>
        <w:color w:val="000000"/>
        <w:sz w:val="16"/>
        <w:szCs w:val="16"/>
      </w:rPr>
      <w:br/>
      <w:t>www.movilidadbogota.gov.co</w:t>
    </w:r>
    <w:r>
      <w:rPr>
        <w:rFonts w:ascii="Arial" w:eastAsia="Arial" w:hAnsi="Arial" w:cs="Arial"/>
        <w:color w:val="000000"/>
        <w:sz w:val="16"/>
        <w:szCs w:val="16"/>
      </w:rPr>
      <w:br/>
      <w:t xml:space="preserve">Información: Línea 195 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25F61">
      <w:rPr>
        <w:rFonts w:ascii="Arial" w:eastAsia="Arial" w:hAnsi="Arial" w:cs="Arial"/>
        <w:b/>
        <w:noProof/>
        <w:color w:val="000000"/>
        <w:sz w:val="16"/>
        <w:szCs w:val="16"/>
      </w:rPr>
      <w:t>4</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25F61">
      <w:rPr>
        <w:rFonts w:ascii="Arial" w:eastAsia="Arial" w:hAnsi="Arial" w:cs="Arial"/>
        <w:b/>
        <w:noProof/>
        <w:color w:val="000000"/>
        <w:sz w:val="16"/>
        <w:szCs w:val="16"/>
      </w:rPr>
      <w:t>5</w:t>
    </w:r>
    <w:r>
      <w:rPr>
        <w:rFonts w:ascii="Arial" w:eastAsia="Arial" w:hAnsi="Arial" w:cs="Arial"/>
        <w:b/>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C7DE1" w14:textId="77777777" w:rsidR="00464642" w:rsidRDefault="00416049">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25F61">
      <w:rPr>
        <w:noProof/>
        <w:color w:val="000000"/>
      </w:rPr>
      <w:t>1</w:t>
    </w:r>
    <w:r>
      <w:rPr>
        <w:color w:val="000000"/>
      </w:rPr>
      <w:fldChar w:fldCharType="end"/>
    </w:r>
  </w:p>
  <w:p w14:paraId="33960A17" w14:textId="77777777" w:rsidR="00464642" w:rsidRDefault="00416049">
    <w:pPr>
      <w:spacing w:after="0" w:line="240" w:lineRule="auto"/>
      <w:rPr>
        <w:rFonts w:ascii="Arial" w:eastAsia="Arial" w:hAnsi="Arial" w:cs="Arial"/>
        <w:b/>
        <w:sz w:val="18"/>
        <w:szCs w:val="18"/>
      </w:rPr>
    </w:pPr>
    <w:r>
      <w:rPr>
        <w:rFonts w:ascii="Arial" w:eastAsia="Arial" w:hAnsi="Arial" w:cs="Arial"/>
        <w:sz w:val="14"/>
        <w:szCs w:val="14"/>
      </w:rPr>
      <w:t>PA01-PR01-MD01 V.3.0</w:t>
    </w:r>
    <w:r>
      <w:rPr>
        <w:rFonts w:ascii="Arial" w:eastAsia="Arial" w:hAnsi="Arial" w:cs="Arial"/>
        <w:color w:val="808080"/>
        <w:sz w:val="14"/>
        <w:szCs w:val="14"/>
      </w:rPr>
      <w:t xml:space="preserve"> </w:t>
    </w:r>
    <w:r>
      <w:rPr>
        <w:noProof/>
      </w:rPr>
      <w:drawing>
        <wp:anchor distT="0" distB="0" distL="114300" distR="114300" simplePos="0" relativeHeight="251661312" behindDoc="0" locked="0" layoutInCell="1" hidden="0" allowOverlap="1" wp14:anchorId="28FCBBC4" wp14:editId="02BC044E">
          <wp:simplePos x="0" y="0"/>
          <wp:positionH relativeFrom="column">
            <wp:posOffset>4665345</wp:posOffset>
          </wp:positionH>
          <wp:positionV relativeFrom="paragraph">
            <wp:posOffset>39207</wp:posOffset>
          </wp:positionV>
          <wp:extent cx="735330" cy="754380"/>
          <wp:effectExtent l="0" t="0" r="0" b="0"/>
          <wp:wrapSquare wrapText="bothSides" distT="0" distB="0" distL="114300" distR="114300"/>
          <wp:docPr id="31" name="image1.jp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con confianza media"/>
                  <pic:cNvPicPr preferRelativeResize="0"/>
                </pic:nvPicPr>
                <pic:blipFill>
                  <a:blip r:embed="rId1"/>
                  <a:srcRect/>
                  <a:stretch>
                    <a:fillRect/>
                  </a:stretch>
                </pic:blipFill>
                <pic:spPr>
                  <a:xfrm>
                    <a:off x="0" y="0"/>
                    <a:ext cx="735330" cy="754380"/>
                  </a:xfrm>
                  <a:prstGeom prst="rect">
                    <a:avLst/>
                  </a:prstGeom>
                  <a:ln/>
                </pic:spPr>
              </pic:pic>
            </a:graphicData>
          </a:graphic>
        </wp:anchor>
      </w:drawing>
    </w:r>
  </w:p>
  <w:p w14:paraId="1E0DEDAC" w14:textId="77777777" w:rsidR="00464642" w:rsidRDefault="00416049">
    <w:pPr>
      <w:pBdr>
        <w:top w:val="nil"/>
        <w:left w:val="nil"/>
        <w:bottom w:val="nil"/>
        <w:right w:val="nil"/>
        <w:between w:val="nil"/>
      </w:pBdr>
      <w:tabs>
        <w:tab w:val="center" w:pos="4252"/>
        <w:tab w:val="right" w:pos="8504"/>
      </w:tabs>
      <w:spacing w:after="0" w:line="240" w:lineRule="auto"/>
      <w:rPr>
        <w:color w:val="000000"/>
      </w:rPr>
    </w:pPr>
    <w:r>
      <w:rPr>
        <w:rFonts w:ascii="Arial" w:eastAsia="Arial" w:hAnsi="Arial" w:cs="Arial"/>
        <w:b/>
        <w:color w:val="000000"/>
        <w:sz w:val="18"/>
        <w:szCs w:val="18"/>
      </w:rPr>
      <w:t>Secretaría Distrital de Movilidad</w:t>
    </w:r>
    <w:r>
      <w:rPr>
        <w:rFonts w:ascii="Arial" w:eastAsia="Arial" w:hAnsi="Arial" w:cs="Arial"/>
        <w:color w:val="000000"/>
        <w:sz w:val="16"/>
        <w:szCs w:val="16"/>
      </w:rPr>
      <w:br/>
      <w:t>Calle 13 # 37 - 35</w:t>
    </w:r>
    <w:r>
      <w:rPr>
        <w:rFonts w:ascii="Arial" w:eastAsia="Arial" w:hAnsi="Arial" w:cs="Arial"/>
        <w:color w:val="000000"/>
        <w:sz w:val="16"/>
        <w:szCs w:val="16"/>
      </w:rPr>
      <w:br/>
      <w:t>Teléfono: (1) 364 9400</w:t>
    </w:r>
    <w:r>
      <w:rPr>
        <w:rFonts w:ascii="Arial" w:eastAsia="Arial" w:hAnsi="Arial" w:cs="Arial"/>
        <w:color w:val="000000"/>
        <w:sz w:val="16"/>
        <w:szCs w:val="16"/>
      </w:rPr>
      <w:br/>
      <w:t>www.movilidadbogota.gov.co</w:t>
    </w:r>
    <w:r>
      <w:rPr>
        <w:rFonts w:ascii="Arial" w:eastAsia="Arial" w:hAnsi="Arial" w:cs="Arial"/>
        <w:color w:val="000000"/>
        <w:sz w:val="16"/>
        <w:szCs w:val="16"/>
      </w:rPr>
      <w:br/>
      <w:t xml:space="preserve">Información: Línea 195 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25F61">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25F61">
      <w:rPr>
        <w:rFonts w:ascii="Arial" w:eastAsia="Arial" w:hAnsi="Arial" w:cs="Arial"/>
        <w:b/>
        <w:noProof/>
        <w:color w:val="000000"/>
        <w:sz w:val="16"/>
        <w:szCs w:val="16"/>
      </w:rPr>
      <w:t>2</w:t>
    </w:r>
    <w:r>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726FD" w14:textId="77777777" w:rsidR="00F22D2B" w:rsidRDefault="00F22D2B">
      <w:pPr>
        <w:spacing w:after="0" w:line="240" w:lineRule="auto"/>
      </w:pPr>
      <w:r>
        <w:separator/>
      </w:r>
    </w:p>
  </w:footnote>
  <w:footnote w:type="continuationSeparator" w:id="0">
    <w:p w14:paraId="51B40774" w14:textId="77777777" w:rsidR="00F22D2B" w:rsidRDefault="00F22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A50C" w14:textId="77777777" w:rsidR="00464642" w:rsidRDefault="00416049">
    <w:r>
      <w:rPr>
        <w:noProof/>
      </w:rPr>
      <w:drawing>
        <wp:anchor distT="0" distB="0" distL="114300" distR="114300" simplePos="0" relativeHeight="251658240" behindDoc="0" locked="0" layoutInCell="1" hidden="0" allowOverlap="1" wp14:anchorId="62A9C128" wp14:editId="2563FFF0">
          <wp:simplePos x="0" y="0"/>
          <wp:positionH relativeFrom="page">
            <wp:posOffset>2523490</wp:posOffset>
          </wp:positionH>
          <wp:positionV relativeFrom="page">
            <wp:posOffset>152400</wp:posOffset>
          </wp:positionV>
          <wp:extent cx="2718435" cy="682625"/>
          <wp:effectExtent l="0" t="0" r="0" b="0"/>
          <wp:wrapSquare wrapText="bothSides" distT="0" distB="0" distL="114300" distR="114300"/>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718435" cy="6826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DEAA" w14:textId="77777777" w:rsidR="00464642" w:rsidRDefault="00416049">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9264" behindDoc="0" locked="0" layoutInCell="1" hidden="0" allowOverlap="1" wp14:anchorId="2B286B0C" wp14:editId="489F7949">
          <wp:simplePos x="0" y="0"/>
          <wp:positionH relativeFrom="margin">
            <wp:posOffset>1200150</wp:posOffset>
          </wp:positionH>
          <wp:positionV relativeFrom="margin">
            <wp:posOffset>-756918</wp:posOffset>
          </wp:positionV>
          <wp:extent cx="2719643" cy="759149"/>
          <wp:effectExtent l="0" t="0" r="0" b="0"/>
          <wp:wrapSquare wrapText="bothSides" distT="0" distB="0" distL="114300" distR="114300"/>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719643" cy="7591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8D2"/>
    <w:multiLevelType w:val="multilevel"/>
    <w:tmpl w:val="DB5E2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DB2C34"/>
    <w:multiLevelType w:val="multilevel"/>
    <w:tmpl w:val="E6A86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C74B00"/>
    <w:multiLevelType w:val="multilevel"/>
    <w:tmpl w:val="2A9287FA"/>
    <w:lvl w:ilvl="0">
      <w:start w:val="1"/>
      <w:numFmt w:val="bullet"/>
      <w:lvlText w:val="▪"/>
      <w:lvlJc w:val="left"/>
      <w:pPr>
        <w:ind w:left="963" w:hanging="284"/>
      </w:pPr>
      <w:rPr>
        <w:rFonts w:ascii="Noto Sans Symbols" w:eastAsia="Noto Sans Symbols" w:hAnsi="Noto Sans Symbols" w:cs="Noto Sans Symbols"/>
        <w:sz w:val="21"/>
        <w:szCs w:val="21"/>
      </w:rPr>
    </w:lvl>
    <w:lvl w:ilvl="1">
      <w:start w:val="1"/>
      <w:numFmt w:val="bullet"/>
      <w:lvlText w:val="▪"/>
      <w:lvlJc w:val="left"/>
      <w:pPr>
        <w:ind w:left="1400" w:hanging="360"/>
      </w:pPr>
      <w:rPr>
        <w:rFonts w:ascii="Noto Sans Symbols" w:eastAsia="Noto Sans Symbols" w:hAnsi="Noto Sans Symbols" w:cs="Noto Sans Symbols"/>
        <w:sz w:val="21"/>
        <w:szCs w:val="21"/>
      </w:rPr>
    </w:lvl>
    <w:lvl w:ilvl="2">
      <w:numFmt w:val="bullet"/>
      <w:lvlText w:val="•"/>
      <w:lvlJc w:val="left"/>
      <w:pPr>
        <w:ind w:left="2465" w:hanging="360"/>
      </w:pPr>
    </w:lvl>
    <w:lvl w:ilvl="3">
      <w:numFmt w:val="bullet"/>
      <w:lvlText w:val="•"/>
      <w:lvlJc w:val="left"/>
      <w:pPr>
        <w:ind w:left="3530" w:hanging="360"/>
      </w:pPr>
    </w:lvl>
    <w:lvl w:ilvl="4">
      <w:numFmt w:val="bullet"/>
      <w:lvlText w:val="•"/>
      <w:lvlJc w:val="left"/>
      <w:pPr>
        <w:ind w:left="4596" w:hanging="360"/>
      </w:pPr>
    </w:lvl>
    <w:lvl w:ilvl="5">
      <w:numFmt w:val="bullet"/>
      <w:lvlText w:val="•"/>
      <w:lvlJc w:val="left"/>
      <w:pPr>
        <w:ind w:left="5661" w:hanging="360"/>
      </w:pPr>
    </w:lvl>
    <w:lvl w:ilvl="6">
      <w:numFmt w:val="bullet"/>
      <w:lvlText w:val="•"/>
      <w:lvlJc w:val="left"/>
      <w:pPr>
        <w:ind w:left="6727" w:hanging="360"/>
      </w:pPr>
    </w:lvl>
    <w:lvl w:ilvl="7">
      <w:numFmt w:val="bullet"/>
      <w:lvlText w:val="•"/>
      <w:lvlJc w:val="left"/>
      <w:pPr>
        <w:ind w:left="7792" w:hanging="360"/>
      </w:pPr>
    </w:lvl>
    <w:lvl w:ilvl="8">
      <w:numFmt w:val="bullet"/>
      <w:lvlText w:val="•"/>
      <w:lvlJc w:val="left"/>
      <w:pPr>
        <w:ind w:left="8857" w:hanging="360"/>
      </w:pPr>
    </w:lvl>
  </w:abstractNum>
  <w:abstractNum w:abstractNumId="3" w15:restartNumberingAfterBreak="0">
    <w:nsid w:val="17640DC6"/>
    <w:multiLevelType w:val="hybridMultilevel"/>
    <w:tmpl w:val="2854982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9E455B"/>
    <w:multiLevelType w:val="multilevel"/>
    <w:tmpl w:val="CC52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A5579"/>
    <w:multiLevelType w:val="multilevel"/>
    <w:tmpl w:val="BAC46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B02ECF"/>
    <w:multiLevelType w:val="multilevel"/>
    <w:tmpl w:val="E6366ABC"/>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20E356E9"/>
    <w:multiLevelType w:val="multilevel"/>
    <w:tmpl w:val="E8F6B624"/>
    <w:lvl w:ilvl="0">
      <w:start w:val="1"/>
      <w:numFmt w:val="bullet"/>
      <w:lvlText w:val="▪"/>
      <w:lvlJc w:val="left"/>
      <w:pPr>
        <w:ind w:left="963" w:hanging="284"/>
      </w:pPr>
      <w:rPr>
        <w:rFonts w:ascii="Noto Sans Symbols" w:eastAsia="Noto Sans Symbols" w:hAnsi="Noto Sans Symbols" w:cs="Noto Sans Symbols"/>
        <w:sz w:val="21"/>
        <w:szCs w:val="21"/>
      </w:rPr>
    </w:lvl>
    <w:lvl w:ilvl="1">
      <w:numFmt w:val="bullet"/>
      <w:lvlText w:val="⮚"/>
      <w:lvlJc w:val="left"/>
      <w:pPr>
        <w:ind w:left="1400" w:hanging="360"/>
      </w:pPr>
      <w:rPr>
        <w:rFonts w:ascii="Quattrocento Sans" w:eastAsia="Quattrocento Sans" w:hAnsi="Quattrocento Sans" w:cs="Quattrocento Sans"/>
        <w:sz w:val="21"/>
        <w:szCs w:val="21"/>
      </w:rPr>
    </w:lvl>
    <w:lvl w:ilvl="2">
      <w:numFmt w:val="bullet"/>
      <w:lvlText w:val="•"/>
      <w:lvlJc w:val="left"/>
      <w:pPr>
        <w:ind w:left="2465" w:hanging="360"/>
      </w:pPr>
    </w:lvl>
    <w:lvl w:ilvl="3">
      <w:numFmt w:val="bullet"/>
      <w:lvlText w:val="•"/>
      <w:lvlJc w:val="left"/>
      <w:pPr>
        <w:ind w:left="3530" w:hanging="360"/>
      </w:pPr>
    </w:lvl>
    <w:lvl w:ilvl="4">
      <w:numFmt w:val="bullet"/>
      <w:lvlText w:val="•"/>
      <w:lvlJc w:val="left"/>
      <w:pPr>
        <w:ind w:left="4596" w:hanging="360"/>
      </w:pPr>
    </w:lvl>
    <w:lvl w:ilvl="5">
      <w:numFmt w:val="bullet"/>
      <w:lvlText w:val="•"/>
      <w:lvlJc w:val="left"/>
      <w:pPr>
        <w:ind w:left="5661" w:hanging="360"/>
      </w:pPr>
    </w:lvl>
    <w:lvl w:ilvl="6">
      <w:numFmt w:val="bullet"/>
      <w:lvlText w:val="•"/>
      <w:lvlJc w:val="left"/>
      <w:pPr>
        <w:ind w:left="6727" w:hanging="360"/>
      </w:pPr>
    </w:lvl>
    <w:lvl w:ilvl="7">
      <w:numFmt w:val="bullet"/>
      <w:lvlText w:val="•"/>
      <w:lvlJc w:val="left"/>
      <w:pPr>
        <w:ind w:left="7792" w:hanging="360"/>
      </w:pPr>
    </w:lvl>
    <w:lvl w:ilvl="8">
      <w:numFmt w:val="bullet"/>
      <w:lvlText w:val="•"/>
      <w:lvlJc w:val="left"/>
      <w:pPr>
        <w:ind w:left="8857" w:hanging="360"/>
      </w:pPr>
    </w:lvl>
  </w:abstractNum>
  <w:abstractNum w:abstractNumId="8" w15:restartNumberingAfterBreak="0">
    <w:nsid w:val="2E436F78"/>
    <w:multiLevelType w:val="hybridMultilevel"/>
    <w:tmpl w:val="0D8ADA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1072823"/>
    <w:multiLevelType w:val="multilevel"/>
    <w:tmpl w:val="E7D695A4"/>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41D767A"/>
    <w:multiLevelType w:val="hybridMultilevel"/>
    <w:tmpl w:val="0C4AD6D4"/>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1" w15:restartNumberingAfterBreak="0">
    <w:nsid w:val="3460036F"/>
    <w:multiLevelType w:val="multilevel"/>
    <w:tmpl w:val="DFEAAC9C"/>
    <w:lvl w:ilvl="0">
      <w:start w:val="1"/>
      <w:numFmt w:val="decimal"/>
      <w:lvlText w:val="%1."/>
      <w:lvlJc w:val="left"/>
      <w:pPr>
        <w:ind w:left="2344" w:hanging="360"/>
      </w:pPr>
    </w:lvl>
    <w:lvl w:ilvl="1">
      <w:start w:val="1"/>
      <w:numFmt w:val="lowerLetter"/>
      <w:lvlText w:val="%2."/>
      <w:lvlJc w:val="left"/>
      <w:pPr>
        <w:ind w:left="3064" w:hanging="360"/>
      </w:pPr>
    </w:lvl>
    <w:lvl w:ilvl="2">
      <w:start w:val="1"/>
      <w:numFmt w:val="lowerRoman"/>
      <w:lvlText w:val="%3."/>
      <w:lvlJc w:val="right"/>
      <w:pPr>
        <w:ind w:left="3784" w:hanging="180"/>
      </w:pPr>
    </w:lvl>
    <w:lvl w:ilvl="3">
      <w:start w:val="1"/>
      <w:numFmt w:val="decimal"/>
      <w:lvlText w:val="%4."/>
      <w:lvlJc w:val="left"/>
      <w:pPr>
        <w:ind w:left="4504" w:hanging="360"/>
      </w:pPr>
    </w:lvl>
    <w:lvl w:ilvl="4">
      <w:start w:val="1"/>
      <w:numFmt w:val="lowerLetter"/>
      <w:lvlText w:val="%5."/>
      <w:lvlJc w:val="left"/>
      <w:pPr>
        <w:ind w:left="5224" w:hanging="360"/>
      </w:pPr>
    </w:lvl>
    <w:lvl w:ilvl="5">
      <w:start w:val="1"/>
      <w:numFmt w:val="lowerRoman"/>
      <w:lvlText w:val="%6."/>
      <w:lvlJc w:val="right"/>
      <w:pPr>
        <w:ind w:left="5944" w:hanging="180"/>
      </w:pPr>
    </w:lvl>
    <w:lvl w:ilvl="6">
      <w:start w:val="1"/>
      <w:numFmt w:val="decimal"/>
      <w:lvlText w:val="%7."/>
      <w:lvlJc w:val="left"/>
      <w:pPr>
        <w:ind w:left="6664" w:hanging="360"/>
      </w:pPr>
    </w:lvl>
    <w:lvl w:ilvl="7">
      <w:start w:val="1"/>
      <w:numFmt w:val="lowerLetter"/>
      <w:lvlText w:val="%8."/>
      <w:lvlJc w:val="left"/>
      <w:pPr>
        <w:ind w:left="7384" w:hanging="360"/>
      </w:pPr>
    </w:lvl>
    <w:lvl w:ilvl="8">
      <w:start w:val="1"/>
      <w:numFmt w:val="lowerRoman"/>
      <w:lvlText w:val="%9."/>
      <w:lvlJc w:val="right"/>
      <w:pPr>
        <w:ind w:left="8104" w:hanging="180"/>
      </w:pPr>
    </w:lvl>
  </w:abstractNum>
  <w:abstractNum w:abstractNumId="12" w15:restartNumberingAfterBreak="0">
    <w:nsid w:val="38F0167B"/>
    <w:multiLevelType w:val="multilevel"/>
    <w:tmpl w:val="2722CC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9C45364"/>
    <w:multiLevelType w:val="multilevel"/>
    <w:tmpl w:val="B8423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BC51E1"/>
    <w:multiLevelType w:val="hybridMultilevel"/>
    <w:tmpl w:val="537ADA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2AC12C7"/>
    <w:multiLevelType w:val="multilevel"/>
    <w:tmpl w:val="FD10E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71410C"/>
    <w:multiLevelType w:val="multilevel"/>
    <w:tmpl w:val="425C5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2E447D"/>
    <w:multiLevelType w:val="multilevel"/>
    <w:tmpl w:val="8320F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027E41"/>
    <w:multiLevelType w:val="multilevel"/>
    <w:tmpl w:val="B778FA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C442E4D"/>
    <w:multiLevelType w:val="multilevel"/>
    <w:tmpl w:val="12603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4343950"/>
    <w:multiLevelType w:val="hybridMultilevel"/>
    <w:tmpl w:val="E0A0F0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4C33D1B"/>
    <w:multiLevelType w:val="multilevel"/>
    <w:tmpl w:val="FD8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3212145">
    <w:abstractNumId w:val="13"/>
  </w:num>
  <w:num w:numId="2" w16cid:durableId="735204707">
    <w:abstractNumId w:val="5"/>
  </w:num>
  <w:num w:numId="3" w16cid:durableId="555504982">
    <w:abstractNumId w:val="17"/>
  </w:num>
  <w:num w:numId="4" w16cid:durableId="1474714285">
    <w:abstractNumId w:val="1"/>
  </w:num>
  <w:num w:numId="5" w16cid:durableId="1473595539">
    <w:abstractNumId w:val="12"/>
  </w:num>
  <w:num w:numId="6" w16cid:durableId="167719776">
    <w:abstractNumId w:val="18"/>
  </w:num>
  <w:num w:numId="7" w16cid:durableId="1430617496">
    <w:abstractNumId w:val="7"/>
  </w:num>
  <w:num w:numId="8" w16cid:durableId="97264445">
    <w:abstractNumId w:val="2"/>
  </w:num>
  <w:num w:numId="9" w16cid:durableId="351687032">
    <w:abstractNumId w:val="6"/>
  </w:num>
  <w:num w:numId="10" w16cid:durableId="842623712">
    <w:abstractNumId w:val="19"/>
  </w:num>
  <w:num w:numId="11" w16cid:durableId="1313947473">
    <w:abstractNumId w:val="9"/>
  </w:num>
  <w:num w:numId="12" w16cid:durableId="1179850994">
    <w:abstractNumId w:val="16"/>
  </w:num>
  <w:num w:numId="13" w16cid:durableId="1039209656">
    <w:abstractNumId w:val="0"/>
  </w:num>
  <w:num w:numId="14" w16cid:durableId="734208868">
    <w:abstractNumId w:val="15"/>
  </w:num>
  <w:num w:numId="15" w16cid:durableId="1606770502">
    <w:abstractNumId w:val="11"/>
  </w:num>
  <w:num w:numId="16" w16cid:durableId="883106196">
    <w:abstractNumId w:val="21"/>
  </w:num>
  <w:num w:numId="17" w16cid:durableId="391541336">
    <w:abstractNumId w:val="4"/>
  </w:num>
  <w:num w:numId="18" w16cid:durableId="543906628">
    <w:abstractNumId w:val="10"/>
  </w:num>
  <w:num w:numId="19" w16cid:durableId="1189182323">
    <w:abstractNumId w:val="8"/>
  </w:num>
  <w:num w:numId="20" w16cid:durableId="758869245">
    <w:abstractNumId w:val="14"/>
  </w:num>
  <w:num w:numId="21" w16cid:durableId="952052370">
    <w:abstractNumId w:val="3"/>
  </w:num>
  <w:num w:numId="22" w16cid:durableId="18376515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642"/>
    <w:rsid w:val="00027F0D"/>
    <w:rsid w:val="000368BA"/>
    <w:rsid w:val="000611A4"/>
    <w:rsid w:val="00067C6D"/>
    <w:rsid w:val="000A12E2"/>
    <w:rsid w:val="000D7C36"/>
    <w:rsid w:val="00133E7E"/>
    <w:rsid w:val="001971C0"/>
    <w:rsid w:val="001A722D"/>
    <w:rsid w:val="001B34A7"/>
    <w:rsid w:val="00202088"/>
    <w:rsid w:val="00210144"/>
    <w:rsid w:val="00235D3C"/>
    <w:rsid w:val="00285D95"/>
    <w:rsid w:val="00293021"/>
    <w:rsid w:val="002940B4"/>
    <w:rsid w:val="00330B6F"/>
    <w:rsid w:val="00360D38"/>
    <w:rsid w:val="003B014D"/>
    <w:rsid w:val="003F576D"/>
    <w:rsid w:val="003F6160"/>
    <w:rsid w:val="00416049"/>
    <w:rsid w:val="004217D9"/>
    <w:rsid w:val="00430B85"/>
    <w:rsid w:val="00464642"/>
    <w:rsid w:val="004C5AEB"/>
    <w:rsid w:val="004D0A48"/>
    <w:rsid w:val="004E46F2"/>
    <w:rsid w:val="004F6C8B"/>
    <w:rsid w:val="00503DA0"/>
    <w:rsid w:val="00504BB4"/>
    <w:rsid w:val="00517278"/>
    <w:rsid w:val="00596CD6"/>
    <w:rsid w:val="005B7192"/>
    <w:rsid w:val="005F631C"/>
    <w:rsid w:val="006025AD"/>
    <w:rsid w:val="00665BF7"/>
    <w:rsid w:val="00675AB1"/>
    <w:rsid w:val="00781968"/>
    <w:rsid w:val="00793855"/>
    <w:rsid w:val="007B1C78"/>
    <w:rsid w:val="007D0CE1"/>
    <w:rsid w:val="008263E6"/>
    <w:rsid w:val="0090008D"/>
    <w:rsid w:val="00905585"/>
    <w:rsid w:val="009C0498"/>
    <w:rsid w:val="009D1C7A"/>
    <w:rsid w:val="00A07687"/>
    <w:rsid w:val="00AF4400"/>
    <w:rsid w:val="00B05F2C"/>
    <w:rsid w:val="00B25F61"/>
    <w:rsid w:val="00B9120B"/>
    <w:rsid w:val="00BB78ED"/>
    <w:rsid w:val="00C45256"/>
    <w:rsid w:val="00C456AB"/>
    <w:rsid w:val="00CC4F33"/>
    <w:rsid w:val="00CD3516"/>
    <w:rsid w:val="00D3000D"/>
    <w:rsid w:val="00D34633"/>
    <w:rsid w:val="00D938AD"/>
    <w:rsid w:val="00E4239C"/>
    <w:rsid w:val="00E53CC3"/>
    <w:rsid w:val="00E74584"/>
    <w:rsid w:val="00E87FE0"/>
    <w:rsid w:val="00ED6F53"/>
    <w:rsid w:val="00F22D2B"/>
    <w:rsid w:val="00F560E3"/>
    <w:rsid w:val="00FB1D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11D99"/>
  <w15:docId w15:val="{3AAB24B8-D7BE-4364-AEB1-F9C5BABA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7F6"/>
  </w:style>
  <w:style w:type="paragraph" w:styleId="Ttulo1">
    <w:name w:val="heading 1"/>
    <w:basedOn w:val="Normal"/>
    <w:next w:val="Normal"/>
    <w:link w:val="Ttulo1Car"/>
    <w:uiPriority w:val="9"/>
    <w:qFormat/>
    <w:rsid w:val="009D7D43"/>
    <w:pPr>
      <w:keepNext/>
      <w:keepLines/>
      <w:spacing w:before="400" w:after="40" w:line="240" w:lineRule="auto"/>
      <w:outlineLvl w:val="0"/>
    </w:pPr>
    <w:rPr>
      <w:rFonts w:ascii="Calibri Light" w:eastAsia="SimSun" w:hAnsi="Calibri Light"/>
      <w:color w:val="1F4E79"/>
      <w:sz w:val="36"/>
      <w:szCs w:val="36"/>
    </w:rPr>
  </w:style>
  <w:style w:type="paragraph" w:styleId="Ttulo2">
    <w:name w:val="heading 2"/>
    <w:basedOn w:val="Normal"/>
    <w:next w:val="Normal"/>
    <w:link w:val="Ttulo2Car"/>
    <w:uiPriority w:val="9"/>
    <w:unhideWhenUsed/>
    <w:qFormat/>
    <w:rsid w:val="0070538D"/>
    <w:pPr>
      <w:keepNext/>
      <w:keepLines/>
      <w:spacing w:before="40" w:after="0" w:line="240" w:lineRule="auto"/>
      <w:outlineLvl w:val="1"/>
    </w:pPr>
    <w:rPr>
      <w:rFonts w:ascii="Arial" w:eastAsia="SimSun" w:hAnsi="Arial"/>
      <w:b/>
      <w:sz w:val="24"/>
      <w:szCs w:val="32"/>
    </w:rPr>
  </w:style>
  <w:style w:type="paragraph" w:styleId="Ttulo3">
    <w:name w:val="heading 3"/>
    <w:basedOn w:val="Normal"/>
    <w:next w:val="Normal"/>
    <w:link w:val="Ttulo3Car"/>
    <w:uiPriority w:val="9"/>
    <w:unhideWhenUsed/>
    <w:qFormat/>
    <w:rsid w:val="009D7D43"/>
    <w:pPr>
      <w:keepNext/>
      <w:keepLines/>
      <w:spacing w:before="40" w:after="0" w:line="240" w:lineRule="auto"/>
      <w:outlineLvl w:val="2"/>
    </w:pPr>
    <w:rPr>
      <w:rFonts w:ascii="Calibri Light" w:eastAsia="SimSun" w:hAnsi="Calibri Light"/>
      <w:color w:val="2E74B5"/>
      <w:sz w:val="28"/>
      <w:szCs w:val="28"/>
    </w:rPr>
  </w:style>
  <w:style w:type="paragraph" w:styleId="Ttulo4">
    <w:name w:val="heading 4"/>
    <w:basedOn w:val="Normal"/>
    <w:next w:val="Normal"/>
    <w:link w:val="Ttulo4Car"/>
    <w:uiPriority w:val="9"/>
    <w:unhideWhenUsed/>
    <w:qFormat/>
    <w:rsid w:val="009D7D43"/>
    <w:pPr>
      <w:keepNext/>
      <w:keepLines/>
      <w:spacing w:before="40" w:after="0"/>
      <w:outlineLvl w:val="3"/>
    </w:pPr>
    <w:rPr>
      <w:rFonts w:ascii="Calibri Light" w:eastAsia="SimSun" w:hAnsi="Calibri Light"/>
      <w:color w:val="2E74B5"/>
      <w:sz w:val="24"/>
      <w:szCs w:val="24"/>
    </w:rPr>
  </w:style>
  <w:style w:type="paragraph" w:styleId="Ttulo5">
    <w:name w:val="heading 5"/>
    <w:basedOn w:val="Normal"/>
    <w:next w:val="Normal"/>
    <w:link w:val="Ttulo5Car"/>
    <w:uiPriority w:val="9"/>
    <w:unhideWhenUsed/>
    <w:qFormat/>
    <w:rsid w:val="009D7D43"/>
    <w:pPr>
      <w:keepNext/>
      <w:keepLines/>
      <w:spacing w:before="40" w:after="0"/>
      <w:outlineLvl w:val="4"/>
    </w:pPr>
    <w:rPr>
      <w:rFonts w:ascii="Calibri Light" w:eastAsia="SimSun" w:hAnsi="Calibri Light"/>
      <w:caps/>
      <w:color w:val="2E74B5"/>
    </w:rPr>
  </w:style>
  <w:style w:type="paragraph" w:styleId="Ttulo6">
    <w:name w:val="heading 6"/>
    <w:basedOn w:val="Normal"/>
    <w:next w:val="Normal"/>
    <w:link w:val="Ttulo6Car"/>
    <w:uiPriority w:val="9"/>
    <w:semiHidden/>
    <w:unhideWhenUsed/>
    <w:qFormat/>
    <w:rsid w:val="009D7D43"/>
    <w:pPr>
      <w:keepNext/>
      <w:keepLines/>
      <w:spacing w:before="40" w:after="0"/>
      <w:outlineLvl w:val="5"/>
    </w:pPr>
    <w:rPr>
      <w:rFonts w:ascii="Calibri Light" w:eastAsia="SimSun" w:hAnsi="Calibri Light"/>
      <w:i/>
      <w:iCs/>
      <w:caps/>
      <w:color w:val="1F4E79"/>
    </w:rPr>
  </w:style>
  <w:style w:type="paragraph" w:styleId="Ttulo7">
    <w:name w:val="heading 7"/>
    <w:basedOn w:val="Normal"/>
    <w:next w:val="Normal"/>
    <w:link w:val="Ttulo7Car"/>
    <w:uiPriority w:val="9"/>
    <w:unhideWhenUsed/>
    <w:qFormat/>
    <w:rsid w:val="009D7D43"/>
    <w:pPr>
      <w:keepNext/>
      <w:keepLines/>
      <w:spacing w:before="40" w:after="0"/>
      <w:outlineLvl w:val="6"/>
    </w:pPr>
    <w:rPr>
      <w:rFonts w:ascii="Calibri Light" w:eastAsia="SimSun" w:hAnsi="Calibri Light"/>
      <w:b/>
      <w:bCs/>
      <w:color w:val="1F4E79"/>
    </w:rPr>
  </w:style>
  <w:style w:type="paragraph" w:styleId="Ttulo8">
    <w:name w:val="heading 8"/>
    <w:basedOn w:val="Normal"/>
    <w:next w:val="Normal"/>
    <w:link w:val="Ttulo8Car"/>
    <w:uiPriority w:val="9"/>
    <w:unhideWhenUsed/>
    <w:qFormat/>
    <w:rsid w:val="009D7D43"/>
    <w:pPr>
      <w:keepNext/>
      <w:keepLines/>
      <w:spacing w:before="40" w:after="0"/>
      <w:outlineLvl w:val="7"/>
    </w:pPr>
    <w:rPr>
      <w:rFonts w:ascii="Calibri Light" w:eastAsia="SimSun" w:hAnsi="Calibri Light"/>
      <w:b/>
      <w:bCs/>
      <w:i/>
      <w:iCs/>
      <w:color w:val="1F4E79"/>
    </w:rPr>
  </w:style>
  <w:style w:type="paragraph" w:styleId="Ttulo9">
    <w:name w:val="heading 9"/>
    <w:basedOn w:val="Normal"/>
    <w:next w:val="Normal"/>
    <w:link w:val="Ttulo9Car"/>
    <w:uiPriority w:val="9"/>
    <w:unhideWhenUsed/>
    <w:qFormat/>
    <w:rsid w:val="009D7D43"/>
    <w:pPr>
      <w:keepNext/>
      <w:keepLines/>
      <w:spacing w:before="40" w:after="0"/>
      <w:outlineLvl w:val="8"/>
    </w:pPr>
    <w:rPr>
      <w:rFonts w:ascii="Calibri Light" w:eastAsia="SimSun" w:hAnsi="Calibri Light"/>
      <w:i/>
      <w:iCs/>
      <w:color w:val="1F4E7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D7D43"/>
    <w:pPr>
      <w:spacing w:after="0" w:line="204" w:lineRule="auto"/>
      <w:contextualSpacing/>
    </w:pPr>
    <w:rPr>
      <w:rFonts w:ascii="Calibri Light" w:eastAsia="SimSun" w:hAnsi="Calibri Light"/>
      <w:caps/>
      <w:color w:val="44546A"/>
      <w:spacing w:val="-15"/>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link w:val="Ttulo1"/>
    <w:uiPriority w:val="9"/>
    <w:rsid w:val="009D7D43"/>
    <w:rPr>
      <w:rFonts w:ascii="Calibri Light" w:eastAsia="SimSun" w:hAnsi="Calibri Light" w:cs="Times New Roman"/>
      <w:color w:val="1F4E79"/>
      <w:sz w:val="36"/>
      <w:szCs w:val="36"/>
    </w:rPr>
  </w:style>
  <w:style w:type="character" w:customStyle="1" w:styleId="Ttulo2Car">
    <w:name w:val="Título 2 Car"/>
    <w:link w:val="Ttulo2"/>
    <w:uiPriority w:val="9"/>
    <w:rsid w:val="0070538D"/>
    <w:rPr>
      <w:rFonts w:ascii="Arial" w:eastAsia="SimSun" w:hAnsi="Arial"/>
      <w:b/>
      <w:sz w:val="24"/>
      <w:szCs w:val="32"/>
    </w:rPr>
  </w:style>
  <w:style w:type="character" w:customStyle="1" w:styleId="Ttulo3Car">
    <w:name w:val="Título 3 Car"/>
    <w:link w:val="Ttulo3"/>
    <w:uiPriority w:val="9"/>
    <w:rsid w:val="009D7D43"/>
    <w:rPr>
      <w:rFonts w:ascii="Calibri Light" w:eastAsia="SimSun" w:hAnsi="Calibri Light" w:cs="Times New Roman"/>
      <w:color w:val="2E74B5"/>
      <w:sz w:val="28"/>
      <w:szCs w:val="28"/>
    </w:rPr>
  </w:style>
  <w:style w:type="character" w:customStyle="1" w:styleId="Ttulo4Car">
    <w:name w:val="Título 4 Car"/>
    <w:link w:val="Ttulo4"/>
    <w:uiPriority w:val="9"/>
    <w:rsid w:val="009D7D43"/>
    <w:rPr>
      <w:rFonts w:ascii="Calibri Light" w:eastAsia="SimSun" w:hAnsi="Calibri Light" w:cs="Times New Roman"/>
      <w:color w:val="2E74B5"/>
      <w:sz w:val="24"/>
      <w:szCs w:val="24"/>
    </w:rPr>
  </w:style>
  <w:style w:type="character" w:customStyle="1" w:styleId="Ttulo5Car">
    <w:name w:val="Título 5 Car"/>
    <w:link w:val="Ttulo5"/>
    <w:uiPriority w:val="9"/>
    <w:rsid w:val="009D7D43"/>
    <w:rPr>
      <w:rFonts w:ascii="Calibri Light" w:eastAsia="SimSun" w:hAnsi="Calibri Light" w:cs="Times New Roman"/>
      <w:caps/>
      <w:color w:val="2E74B5"/>
    </w:rPr>
  </w:style>
  <w:style w:type="character" w:customStyle="1" w:styleId="Ttulo6Car">
    <w:name w:val="Título 6 Car"/>
    <w:link w:val="Ttulo6"/>
    <w:uiPriority w:val="9"/>
    <w:rsid w:val="009D7D43"/>
    <w:rPr>
      <w:rFonts w:ascii="Calibri Light" w:eastAsia="SimSun" w:hAnsi="Calibri Light" w:cs="Times New Roman"/>
      <w:i/>
      <w:iCs/>
      <w:caps/>
      <w:color w:val="1F4E79"/>
    </w:rPr>
  </w:style>
  <w:style w:type="character" w:customStyle="1" w:styleId="Ttulo7Car">
    <w:name w:val="Título 7 Car"/>
    <w:link w:val="Ttulo7"/>
    <w:uiPriority w:val="9"/>
    <w:rsid w:val="009D7D43"/>
    <w:rPr>
      <w:rFonts w:ascii="Calibri Light" w:eastAsia="SimSun" w:hAnsi="Calibri Light" w:cs="Times New Roman"/>
      <w:b/>
      <w:bCs/>
      <w:color w:val="1F4E79"/>
    </w:rPr>
  </w:style>
  <w:style w:type="character" w:customStyle="1" w:styleId="Ttulo8Car">
    <w:name w:val="Título 8 Car"/>
    <w:link w:val="Ttulo8"/>
    <w:uiPriority w:val="9"/>
    <w:rsid w:val="009D7D43"/>
    <w:rPr>
      <w:rFonts w:ascii="Calibri Light" w:eastAsia="SimSun" w:hAnsi="Calibri Light" w:cs="Times New Roman"/>
      <w:b/>
      <w:bCs/>
      <w:i/>
      <w:iCs/>
      <w:color w:val="1F4E79"/>
    </w:rPr>
  </w:style>
  <w:style w:type="character" w:customStyle="1" w:styleId="Ttulo9Car">
    <w:name w:val="Título 9 Car"/>
    <w:link w:val="Ttulo9"/>
    <w:uiPriority w:val="9"/>
    <w:rsid w:val="009D7D43"/>
    <w:rPr>
      <w:rFonts w:ascii="Calibri Light" w:eastAsia="SimSun" w:hAnsi="Calibri Light" w:cs="Times New Roman"/>
      <w:i/>
      <w:iCs/>
      <w:color w:val="1F4E79"/>
    </w:rPr>
  </w:style>
  <w:style w:type="paragraph" w:styleId="Encabezado">
    <w:name w:val="header"/>
    <w:basedOn w:val="Normal"/>
    <w:link w:val="EncabezadoCar"/>
    <w:uiPriority w:val="99"/>
    <w:unhideWhenUsed/>
    <w:rsid w:val="00BC4E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4E9E"/>
  </w:style>
  <w:style w:type="paragraph" w:styleId="Piedepgina">
    <w:name w:val="footer"/>
    <w:aliases w:val="pie de página"/>
    <w:basedOn w:val="Normal"/>
    <w:link w:val="PiedepginaCar"/>
    <w:uiPriority w:val="99"/>
    <w:unhideWhenUsed/>
    <w:qFormat/>
    <w:rsid w:val="00BC4E9E"/>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uiPriority w:val="99"/>
    <w:rsid w:val="00BC4E9E"/>
  </w:style>
  <w:style w:type="paragraph" w:styleId="Textodeglobo">
    <w:name w:val="Balloon Text"/>
    <w:basedOn w:val="Normal"/>
    <w:link w:val="TextodegloboCar"/>
    <w:uiPriority w:val="99"/>
    <w:semiHidden/>
    <w:unhideWhenUsed/>
    <w:rsid w:val="00BC4E9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C4E9E"/>
    <w:rPr>
      <w:rFonts w:ascii="Tahoma" w:hAnsi="Tahoma" w:cs="Tahoma"/>
      <w:sz w:val="16"/>
      <w:szCs w:val="16"/>
    </w:rPr>
  </w:style>
  <w:style w:type="character" w:styleId="Hipervnculo">
    <w:name w:val="Hyperlink"/>
    <w:uiPriority w:val="99"/>
    <w:unhideWhenUsed/>
    <w:rsid w:val="0028134E"/>
    <w:rPr>
      <w:color w:val="0000FF"/>
      <w:u w:val="single"/>
    </w:rPr>
  </w:style>
  <w:style w:type="paragraph" w:styleId="Textoindependiente">
    <w:name w:val="Body Text"/>
    <w:aliases w:val="body text,bt"/>
    <w:basedOn w:val="Normal"/>
    <w:link w:val="TextoindependienteCar"/>
    <w:qFormat/>
    <w:rsid w:val="00DA11D0"/>
    <w:pPr>
      <w:spacing w:after="0" w:line="240" w:lineRule="auto"/>
      <w:jc w:val="both"/>
    </w:pPr>
    <w:rPr>
      <w:rFonts w:ascii="Arial" w:hAnsi="Arial"/>
      <w:sz w:val="24"/>
      <w:szCs w:val="20"/>
      <w:lang w:eastAsia="es-ES"/>
    </w:rPr>
  </w:style>
  <w:style w:type="character" w:customStyle="1" w:styleId="TextoindependienteCar">
    <w:name w:val="Texto independiente Car"/>
    <w:aliases w:val="body text Car,bt Car"/>
    <w:link w:val="Textoindependiente"/>
    <w:rsid w:val="00DA11D0"/>
    <w:rPr>
      <w:rFonts w:ascii="Arial" w:eastAsia="Times New Roman" w:hAnsi="Arial"/>
      <w:sz w:val="24"/>
      <w:lang w:val="es-CO"/>
    </w:rPr>
  </w:style>
  <w:style w:type="paragraph" w:styleId="Sangradetextonormal">
    <w:name w:val="Body Text Indent"/>
    <w:basedOn w:val="Normal"/>
    <w:link w:val="SangradetextonormalCar"/>
    <w:uiPriority w:val="99"/>
    <w:rsid w:val="00DA11D0"/>
    <w:pPr>
      <w:spacing w:after="0" w:line="240" w:lineRule="auto"/>
      <w:jc w:val="both"/>
    </w:pPr>
    <w:rPr>
      <w:rFonts w:ascii="Century Schoolbook" w:hAnsi="Century Schoolbook"/>
      <w:sz w:val="28"/>
      <w:szCs w:val="20"/>
      <w:lang w:eastAsia="es-ES"/>
    </w:rPr>
  </w:style>
  <w:style w:type="character" w:customStyle="1" w:styleId="SangradetextonormalCar">
    <w:name w:val="Sangría de texto normal Car"/>
    <w:link w:val="Sangradetextonormal"/>
    <w:uiPriority w:val="99"/>
    <w:rsid w:val="00DA11D0"/>
    <w:rPr>
      <w:rFonts w:ascii="Century Schoolbook" w:eastAsia="Times New Roman" w:hAnsi="Century Schoolbook"/>
      <w:sz w:val="28"/>
      <w:lang w:val="es-CO"/>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notentext,Car, Car,ft,ft1"/>
    <w:basedOn w:val="Normal"/>
    <w:link w:val="TextonotapieCar"/>
    <w:uiPriority w:val="99"/>
    <w:unhideWhenUsed/>
    <w:qFormat/>
    <w:rsid w:val="00DA11D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notentext Car"/>
    <w:link w:val="Textonotapie"/>
    <w:uiPriority w:val="99"/>
    <w:rsid w:val="00DA11D0"/>
    <w:rPr>
      <w:lang w:eastAsia="en-US"/>
    </w:rPr>
  </w:style>
  <w:style w:type="character" w:styleId="Refdenotaalpie">
    <w:name w:val="footnote reference"/>
    <w:aliases w:val="Ref. de nota al pie 2,Texto de nota al pie,16 Point,Superscript 6 Point,Ref. de nota al pie2,Ref,de nota al pie,Error-Fußnotenzeichen5,Error-Fußnotenzeichen6,Error-Fußnotenzeichen3,Nota de pie,Massilia Footnote Reference"/>
    <w:uiPriority w:val="99"/>
    <w:unhideWhenUsed/>
    <w:rsid w:val="00DA11D0"/>
    <w:rPr>
      <w:vertAlign w:val="superscript"/>
    </w:rPr>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DA11D0"/>
    <w:pPr>
      <w:spacing w:before="100" w:beforeAutospacing="1" w:after="100" w:afterAutospacing="1" w:line="240" w:lineRule="auto"/>
    </w:pPr>
    <w:rPr>
      <w:rFonts w:ascii="Times New Roman" w:hAnsi="Times New Roman"/>
      <w:sz w:val="24"/>
      <w:szCs w:val="24"/>
    </w:rPr>
  </w:style>
  <w:style w:type="character" w:styleId="Textoennegrita">
    <w:name w:val="Strong"/>
    <w:uiPriority w:val="22"/>
    <w:qFormat/>
    <w:rsid w:val="009D7D43"/>
    <w:rPr>
      <w:b/>
      <w:bCs/>
    </w:rPr>
  </w:style>
  <w:style w:type="paragraph" w:styleId="Prrafodelista">
    <w:name w:val="List Paragraph"/>
    <w:aliases w:val="Ha,Resume Title,HOJA,Bolita,List Paragraph,Párrafo de lista4,BOLADEF,Párrafo de lista21,BOLA,Nivel 1 OS,Colorful List Accent 1,Colorful List - Accent 11,VIÑETA,VIÑETAS,Párrafo de lista2,Viñetas,Betulia Título 1,Fluvial1,List Paragraph1"/>
    <w:basedOn w:val="Normal"/>
    <w:link w:val="PrrafodelistaCar"/>
    <w:uiPriority w:val="34"/>
    <w:qFormat/>
    <w:rsid w:val="005B588A"/>
    <w:pPr>
      <w:ind w:left="720"/>
      <w:contextualSpacing/>
    </w:pPr>
  </w:style>
  <w:style w:type="character" w:customStyle="1" w:styleId="PrrafodelistaCar">
    <w:name w:val="Párrafo de lista Car"/>
    <w:aliases w:val="Ha Car,Resume Title Car,HOJA Car,Bolita Car,List Paragraph Car,Párrafo de lista4 Car,BOLADEF Car,Párrafo de lista21 Car,BOLA Car,Nivel 1 OS Car,Colorful List Accent 1 Car,Colorful List - Accent 11 Car,VIÑETA Car,VIÑETAS Car"/>
    <w:link w:val="Prrafodelista"/>
    <w:uiPriority w:val="34"/>
    <w:qFormat/>
    <w:locked/>
    <w:rsid w:val="00F80233"/>
  </w:style>
  <w:style w:type="paragraph" w:styleId="Sinespaciado">
    <w:name w:val="No Spacing"/>
    <w:link w:val="SinespaciadoCar"/>
    <w:uiPriority w:val="1"/>
    <w:qFormat/>
    <w:rsid w:val="009D7D43"/>
  </w:style>
  <w:style w:type="character" w:customStyle="1" w:styleId="SinespaciadoCar">
    <w:name w:val="Sin espaciado Car"/>
    <w:link w:val="Sinespaciado"/>
    <w:uiPriority w:val="1"/>
    <w:locked/>
    <w:rsid w:val="009E1757"/>
  </w:style>
  <w:style w:type="paragraph" w:customStyle="1" w:styleId="MARITZA3">
    <w:name w:val="MARITZA3"/>
    <w:uiPriority w:val="99"/>
    <w:qFormat/>
    <w:rsid w:val="00ED2FBD"/>
    <w:pPr>
      <w:widowControl w:val="0"/>
      <w:tabs>
        <w:tab w:val="left" w:pos="-720"/>
        <w:tab w:val="left" w:pos="0"/>
      </w:tabs>
      <w:jc w:val="both"/>
    </w:pPr>
    <w:rPr>
      <w:rFonts w:ascii="Arial" w:hAnsi="Arial"/>
      <w:sz w:val="24"/>
      <w:lang w:val="en-US" w:eastAsia="es-ES"/>
    </w:rPr>
  </w:style>
  <w:style w:type="character" w:customStyle="1" w:styleId="TtuloCar">
    <w:name w:val="Título Car"/>
    <w:link w:val="Ttulo"/>
    <w:uiPriority w:val="10"/>
    <w:rsid w:val="009D7D43"/>
    <w:rPr>
      <w:rFonts w:ascii="Calibri Light" w:eastAsia="SimSun" w:hAnsi="Calibri Light" w:cs="Times New Roman"/>
      <w:caps/>
      <w:color w:val="44546A"/>
      <w:spacing w:val="-15"/>
      <w:sz w:val="72"/>
      <w:szCs w:val="72"/>
    </w:rPr>
  </w:style>
  <w:style w:type="character" w:customStyle="1" w:styleId="CharacterStyle1">
    <w:name w:val="Character Style 1"/>
    <w:uiPriority w:val="99"/>
    <w:rsid w:val="00D85FCA"/>
    <w:rPr>
      <w:rFonts w:ascii="Arial" w:hAnsi="Arial" w:cs="Arial"/>
      <w:sz w:val="23"/>
      <w:szCs w:val="23"/>
    </w:rPr>
  </w:style>
  <w:style w:type="character" w:customStyle="1" w:styleId="CharacterStyle2">
    <w:name w:val="Character Style 2"/>
    <w:rsid w:val="00D85FCA"/>
    <w:rPr>
      <w:sz w:val="20"/>
      <w:szCs w:val="20"/>
    </w:rPr>
  </w:style>
  <w:style w:type="paragraph" w:customStyle="1" w:styleId="Style1">
    <w:name w:val="Style 1"/>
    <w:basedOn w:val="Normal"/>
    <w:uiPriority w:val="99"/>
    <w:qFormat/>
    <w:rsid w:val="005867DA"/>
    <w:pPr>
      <w:widowControl w:val="0"/>
      <w:autoSpaceDE w:val="0"/>
      <w:autoSpaceDN w:val="0"/>
      <w:adjustRightInd w:val="0"/>
      <w:spacing w:after="0" w:line="240" w:lineRule="auto"/>
    </w:pPr>
    <w:rPr>
      <w:rFonts w:ascii="Times New Roman" w:hAnsi="Times New Roman"/>
      <w:sz w:val="20"/>
      <w:szCs w:val="20"/>
      <w:lang w:val="en-US" w:eastAsia="es-ES"/>
    </w:rPr>
  </w:style>
  <w:style w:type="paragraph" w:customStyle="1" w:styleId="Style2">
    <w:name w:val="Style 2"/>
    <w:basedOn w:val="Normal"/>
    <w:uiPriority w:val="99"/>
    <w:qFormat/>
    <w:rsid w:val="005867DA"/>
    <w:pPr>
      <w:widowControl w:val="0"/>
      <w:autoSpaceDE w:val="0"/>
      <w:autoSpaceDN w:val="0"/>
      <w:spacing w:after="0" w:line="316" w:lineRule="auto"/>
      <w:ind w:left="792" w:hanging="288"/>
      <w:jc w:val="both"/>
    </w:pPr>
    <w:rPr>
      <w:rFonts w:ascii="Garamond" w:hAnsi="Garamond" w:cs="Garamond"/>
      <w:sz w:val="30"/>
      <w:szCs w:val="30"/>
      <w:lang w:val="en-US" w:eastAsia="es-ES"/>
    </w:rPr>
  </w:style>
  <w:style w:type="paragraph" w:styleId="Textoindependiente3">
    <w:name w:val="Body Text 3"/>
    <w:basedOn w:val="Normal"/>
    <w:link w:val="Textoindependiente3Car"/>
    <w:uiPriority w:val="99"/>
    <w:unhideWhenUsed/>
    <w:rsid w:val="00D558B1"/>
    <w:pPr>
      <w:spacing w:after="120" w:line="240" w:lineRule="auto"/>
    </w:pPr>
    <w:rPr>
      <w:sz w:val="16"/>
      <w:szCs w:val="16"/>
      <w:lang w:val="en-US" w:bidi="en-US"/>
    </w:rPr>
  </w:style>
  <w:style w:type="character" w:customStyle="1" w:styleId="Textoindependiente3Car">
    <w:name w:val="Texto independiente 3 Car"/>
    <w:link w:val="Textoindependiente3"/>
    <w:uiPriority w:val="99"/>
    <w:rsid w:val="00D558B1"/>
    <w:rPr>
      <w:rFonts w:eastAsia="Times New Roman"/>
      <w:sz w:val="16"/>
      <w:szCs w:val="16"/>
      <w:lang w:val="en-US" w:eastAsia="en-US" w:bidi="en-US"/>
    </w:rPr>
  </w:style>
  <w:style w:type="paragraph" w:customStyle="1" w:styleId="cuerpotexto">
    <w:name w:val="cuerpotexto"/>
    <w:basedOn w:val="Normal"/>
    <w:uiPriority w:val="99"/>
    <w:qFormat/>
    <w:rsid w:val="009E1757"/>
    <w:pPr>
      <w:spacing w:before="100" w:beforeAutospacing="1" w:after="100" w:afterAutospacing="1" w:line="240" w:lineRule="auto"/>
    </w:pPr>
    <w:rPr>
      <w:rFonts w:ascii="Times New Roman" w:hAnsi="Times New Roman"/>
      <w:sz w:val="24"/>
      <w:szCs w:val="24"/>
      <w:lang w:eastAsia="es-ES"/>
    </w:rPr>
  </w:style>
  <w:style w:type="paragraph" w:customStyle="1" w:styleId="Cuadrculamedia21">
    <w:name w:val="Cuadrícula media 21"/>
    <w:basedOn w:val="Normal"/>
    <w:uiPriority w:val="1"/>
    <w:qFormat/>
    <w:rsid w:val="00567BB9"/>
    <w:pPr>
      <w:spacing w:after="0" w:line="240" w:lineRule="auto"/>
    </w:pPr>
    <w:rPr>
      <w:sz w:val="24"/>
      <w:szCs w:val="32"/>
      <w:lang w:val="en-US" w:bidi="en-US"/>
    </w:rPr>
  </w:style>
  <w:style w:type="character" w:customStyle="1" w:styleId="apple-converted-space">
    <w:name w:val="apple-converted-space"/>
    <w:rsid w:val="00DD35C4"/>
  </w:style>
  <w:style w:type="paragraph" w:customStyle="1" w:styleId="Normal1">
    <w:name w:val="Normal1"/>
    <w:uiPriority w:val="99"/>
    <w:qFormat/>
    <w:rsid w:val="00C51227"/>
    <w:pPr>
      <w:spacing w:after="200" w:line="276" w:lineRule="auto"/>
    </w:pPr>
    <w:rPr>
      <w:color w:val="000000"/>
    </w:rPr>
  </w:style>
  <w:style w:type="paragraph" w:customStyle="1" w:styleId="Default">
    <w:name w:val="Default"/>
    <w:uiPriority w:val="99"/>
    <w:qFormat/>
    <w:rsid w:val="00371A09"/>
    <w:pPr>
      <w:autoSpaceDE w:val="0"/>
      <w:autoSpaceDN w:val="0"/>
      <w:adjustRightInd w:val="0"/>
    </w:pPr>
    <w:rPr>
      <w:rFonts w:ascii="Arial" w:hAnsi="Arial" w:cs="Arial"/>
      <w:color w:val="000000"/>
      <w:sz w:val="24"/>
      <w:szCs w:val="24"/>
      <w:lang w:val="es-ES" w:eastAsia="es-ES"/>
    </w:rPr>
  </w:style>
  <w:style w:type="table" w:styleId="Cuadrculaclara-nfasis1">
    <w:name w:val="Light Grid Accent 1"/>
    <w:basedOn w:val="Tablanormal"/>
    <w:uiPriority w:val="62"/>
    <w:rsid w:val="00696BD1"/>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Subttulo">
    <w:name w:val="Subtitle"/>
    <w:basedOn w:val="Normal"/>
    <w:next w:val="Normal"/>
    <w:link w:val="SubttuloCar"/>
    <w:uiPriority w:val="11"/>
    <w:qFormat/>
    <w:pPr>
      <w:spacing w:after="240" w:line="240" w:lineRule="auto"/>
    </w:pPr>
    <w:rPr>
      <w:color w:val="5B9BD5"/>
      <w:sz w:val="28"/>
      <w:szCs w:val="28"/>
    </w:rPr>
  </w:style>
  <w:style w:type="character" w:customStyle="1" w:styleId="SubttuloCar">
    <w:name w:val="Subtítulo Car"/>
    <w:link w:val="Subttulo"/>
    <w:uiPriority w:val="11"/>
    <w:rsid w:val="009D7D43"/>
    <w:rPr>
      <w:rFonts w:ascii="Calibri Light" w:eastAsia="SimSun" w:hAnsi="Calibri Light" w:cs="Times New Roman"/>
      <w:color w:val="5B9BD5"/>
      <w:sz w:val="28"/>
      <w:szCs w:val="28"/>
    </w:rPr>
  </w:style>
  <w:style w:type="character" w:customStyle="1" w:styleId="TextocomentarioCar">
    <w:name w:val="Texto comentario Car"/>
    <w:link w:val="Textocomentario"/>
    <w:uiPriority w:val="99"/>
    <w:rsid w:val="00A713A7"/>
    <w:rPr>
      <w:rFonts w:cs="Calibri"/>
      <w:lang w:eastAsia="es-MX"/>
    </w:rPr>
  </w:style>
  <w:style w:type="paragraph" w:styleId="Textocomentario">
    <w:name w:val="annotation text"/>
    <w:basedOn w:val="Normal"/>
    <w:link w:val="TextocomentarioCar"/>
    <w:uiPriority w:val="99"/>
    <w:unhideWhenUsed/>
    <w:rsid w:val="00A713A7"/>
    <w:pPr>
      <w:spacing w:after="0" w:line="240" w:lineRule="auto"/>
    </w:pPr>
    <w:rPr>
      <w:sz w:val="20"/>
      <w:szCs w:val="20"/>
      <w:lang w:eastAsia="es-MX"/>
    </w:rPr>
  </w:style>
  <w:style w:type="paragraph" w:styleId="Descripcin">
    <w:name w:val="caption"/>
    <w:aliases w:val="Caption Char,Caption Char Car,Epígrafe Car Car Car Car Car Car Car Car Car Car Car,fuente_normal,Imagen,A,FIGURA Car,Epigrafe Car Car,Epigrafe Car,Descripción1,Geomatica_Epígrafe,Tablas Car,Car Char Char"/>
    <w:basedOn w:val="Normal"/>
    <w:next w:val="Normal"/>
    <w:link w:val="DescripcinCar"/>
    <w:unhideWhenUsed/>
    <w:qFormat/>
    <w:rsid w:val="009D7D43"/>
    <w:pPr>
      <w:spacing w:line="240" w:lineRule="auto"/>
    </w:pPr>
    <w:rPr>
      <w:b/>
      <w:bCs/>
      <w:smallCaps/>
      <w:color w:val="44546A"/>
    </w:rPr>
  </w:style>
  <w:style w:type="character" w:customStyle="1" w:styleId="DescripcinCar">
    <w:name w:val="Descripción Car"/>
    <w:aliases w:val="Caption Char Car1,Caption Char Car Car,Epígrafe Car Car Car Car Car Car Car Car Car Car Car Car,fuente_normal Car,Imagen Car,A Car,FIGURA Car Car,Epigrafe Car Car Car,Epigrafe Car Car1,Descripción1 Car,Geomatica_Epígrafe Car"/>
    <w:link w:val="Descripcin"/>
    <w:locked/>
    <w:rsid w:val="000F34D8"/>
    <w:rPr>
      <w:b/>
      <w:bCs/>
      <w:smallCaps/>
      <w:color w:val="44546A"/>
      <w:sz w:val="22"/>
      <w:szCs w:val="22"/>
    </w:rPr>
  </w:style>
  <w:style w:type="character" w:customStyle="1" w:styleId="AsuntodelcomentarioCar">
    <w:name w:val="Asunto del comentario Car"/>
    <w:link w:val="Asuntodelcomentario"/>
    <w:uiPriority w:val="99"/>
    <w:semiHidden/>
    <w:rsid w:val="00A713A7"/>
    <w:rPr>
      <w:rFonts w:cs="Calibri"/>
      <w:b/>
      <w:bCs/>
      <w:lang w:eastAsia="es-MX"/>
    </w:rPr>
  </w:style>
  <w:style w:type="paragraph" w:styleId="Asuntodelcomentario">
    <w:name w:val="annotation subject"/>
    <w:basedOn w:val="Textocomentario"/>
    <w:next w:val="Textocomentario"/>
    <w:link w:val="AsuntodelcomentarioCar"/>
    <w:uiPriority w:val="99"/>
    <w:semiHidden/>
    <w:unhideWhenUsed/>
    <w:rsid w:val="00A713A7"/>
    <w:rPr>
      <w:b/>
      <w:bCs/>
    </w:rPr>
  </w:style>
  <w:style w:type="table" w:styleId="Tablaconcuadrcula">
    <w:name w:val="Table Grid"/>
    <w:basedOn w:val="Tablanormal"/>
    <w:uiPriority w:val="39"/>
    <w:rsid w:val="001537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uiPriority w:val="20"/>
    <w:qFormat/>
    <w:rsid w:val="009D7D43"/>
    <w:rPr>
      <w:i/>
      <w:iCs/>
    </w:rPr>
  </w:style>
  <w:style w:type="paragraph" w:customStyle="1" w:styleId="Listavistosa-nfasis11">
    <w:name w:val="Lista vistosa - Énfasis 11"/>
    <w:basedOn w:val="Normal"/>
    <w:uiPriority w:val="34"/>
    <w:qFormat/>
    <w:rsid w:val="00153779"/>
    <w:pPr>
      <w:spacing w:after="0" w:line="240" w:lineRule="auto"/>
      <w:ind w:left="720"/>
      <w:contextualSpacing/>
    </w:pPr>
    <w:rPr>
      <w:sz w:val="24"/>
      <w:szCs w:val="24"/>
      <w:lang w:bidi="en-US"/>
    </w:rPr>
  </w:style>
  <w:style w:type="paragraph" w:customStyle="1" w:styleId="Cuadrculavistosa-nfasis11">
    <w:name w:val="Cuadrícula vistosa - Énfasis 11"/>
    <w:basedOn w:val="Normal"/>
    <w:next w:val="Normal"/>
    <w:link w:val="Cuadrculavistosa-nfasis1Car"/>
    <w:uiPriority w:val="29"/>
    <w:qFormat/>
    <w:rsid w:val="00153779"/>
    <w:pPr>
      <w:spacing w:after="0" w:line="240" w:lineRule="auto"/>
    </w:pPr>
    <w:rPr>
      <w:i/>
      <w:sz w:val="24"/>
      <w:szCs w:val="24"/>
      <w:lang w:bidi="en-US"/>
    </w:rPr>
  </w:style>
  <w:style w:type="character" w:customStyle="1" w:styleId="Cuadrculavistosa-nfasis1Car">
    <w:name w:val="Cuadrícula vistosa - Énfasis 1 Car"/>
    <w:link w:val="Cuadrculavistosa-nfasis11"/>
    <w:uiPriority w:val="29"/>
    <w:rsid w:val="00153779"/>
    <w:rPr>
      <w:rFonts w:eastAsia="Times New Roman"/>
      <w:i/>
      <w:sz w:val="24"/>
      <w:szCs w:val="24"/>
      <w:lang w:eastAsia="en-US" w:bidi="en-US"/>
    </w:rPr>
  </w:style>
  <w:style w:type="paragraph" w:customStyle="1" w:styleId="Sombreadoclaro-nfasis21">
    <w:name w:val="Sombreado claro - Énfasis 21"/>
    <w:basedOn w:val="Normal"/>
    <w:next w:val="Normal"/>
    <w:link w:val="Sombreadoclaro-nfasis2Car"/>
    <w:uiPriority w:val="30"/>
    <w:qFormat/>
    <w:rsid w:val="00153779"/>
    <w:pPr>
      <w:spacing w:after="0" w:line="240" w:lineRule="auto"/>
      <w:ind w:left="720" w:right="720"/>
    </w:pPr>
    <w:rPr>
      <w:b/>
      <w:i/>
      <w:sz w:val="24"/>
      <w:lang w:bidi="en-US"/>
    </w:rPr>
  </w:style>
  <w:style w:type="character" w:customStyle="1" w:styleId="Sombreadoclaro-nfasis2Car">
    <w:name w:val="Sombreado claro - Énfasis 2 Car"/>
    <w:link w:val="Sombreadoclaro-nfasis21"/>
    <w:uiPriority w:val="30"/>
    <w:rsid w:val="00153779"/>
    <w:rPr>
      <w:rFonts w:eastAsia="Times New Roman"/>
      <w:b/>
      <w:i/>
      <w:sz w:val="24"/>
      <w:szCs w:val="22"/>
      <w:lang w:eastAsia="en-US" w:bidi="en-US"/>
    </w:rPr>
  </w:style>
  <w:style w:type="character" w:styleId="nfasissutil">
    <w:name w:val="Subtle Emphasis"/>
    <w:uiPriority w:val="19"/>
    <w:qFormat/>
    <w:rsid w:val="009D7D43"/>
    <w:rPr>
      <w:i/>
      <w:iCs/>
      <w:color w:val="595959"/>
    </w:rPr>
  </w:style>
  <w:style w:type="character" w:styleId="nfasisintenso">
    <w:name w:val="Intense Emphasis"/>
    <w:uiPriority w:val="21"/>
    <w:qFormat/>
    <w:rsid w:val="009D7D43"/>
    <w:rPr>
      <w:b/>
      <w:bCs/>
      <w:i/>
      <w:iCs/>
    </w:rPr>
  </w:style>
  <w:style w:type="character" w:styleId="Referenciasutil">
    <w:name w:val="Subtle Reference"/>
    <w:uiPriority w:val="31"/>
    <w:qFormat/>
    <w:rsid w:val="009D7D43"/>
    <w:rPr>
      <w:smallCaps/>
      <w:color w:val="595959"/>
      <w:u w:val="none" w:color="7F7F7F"/>
      <w:bdr w:val="none" w:sz="0" w:space="0" w:color="auto"/>
    </w:rPr>
  </w:style>
  <w:style w:type="character" w:styleId="Referenciaintensa">
    <w:name w:val="Intense Reference"/>
    <w:uiPriority w:val="32"/>
    <w:qFormat/>
    <w:rsid w:val="009D7D43"/>
    <w:rPr>
      <w:b/>
      <w:bCs/>
      <w:smallCaps/>
      <w:color w:val="44546A"/>
      <w:u w:val="single"/>
    </w:rPr>
  </w:style>
  <w:style w:type="character" w:customStyle="1" w:styleId="Ttulodelibro">
    <w:name w:val="Título de libro"/>
    <w:uiPriority w:val="33"/>
    <w:qFormat/>
    <w:rsid w:val="00153779"/>
    <w:rPr>
      <w:rFonts w:ascii="Cambria" w:eastAsia="Times New Roman" w:hAnsi="Cambria"/>
      <w:b/>
      <w:i/>
      <w:sz w:val="24"/>
      <w:szCs w:val="24"/>
    </w:rPr>
  </w:style>
  <w:style w:type="paragraph" w:customStyle="1" w:styleId="Encabezadodetabladecontenido">
    <w:name w:val="Encabezado de tabla de contenido"/>
    <w:basedOn w:val="Ttulo1"/>
    <w:next w:val="Normal"/>
    <w:uiPriority w:val="39"/>
    <w:semiHidden/>
    <w:unhideWhenUsed/>
    <w:qFormat/>
    <w:rsid w:val="00153779"/>
    <w:pPr>
      <w:outlineLvl w:val="9"/>
    </w:pPr>
    <w:rPr>
      <w:rFonts w:ascii="Cambria" w:hAnsi="Cambria"/>
      <w:lang w:bidi="en-US"/>
    </w:rPr>
  </w:style>
  <w:style w:type="character" w:styleId="Refdecomentario">
    <w:name w:val="annotation reference"/>
    <w:uiPriority w:val="99"/>
    <w:semiHidden/>
    <w:unhideWhenUsed/>
    <w:rsid w:val="00153779"/>
    <w:rPr>
      <w:sz w:val="16"/>
      <w:szCs w:val="16"/>
    </w:rPr>
  </w:style>
  <w:style w:type="character" w:customStyle="1" w:styleId="m5927331983076022345gmail-m2147095968034444665gmail-msocommentreference">
    <w:name w:val="m_5927331983076022345gmail-m_2147095968034444665gmail-msocommentreference"/>
    <w:rsid w:val="00153779"/>
  </w:style>
  <w:style w:type="paragraph" w:styleId="Revisin">
    <w:name w:val="Revision"/>
    <w:hidden/>
    <w:uiPriority w:val="99"/>
    <w:semiHidden/>
    <w:rsid w:val="00153779"/>
    <w:rPr>
      <w:sz w:val="24"/>
      <w:szCs w:val="24"/>
      <w:lang w:val="en-US" w:eastAsia="en-US" w:bidi="en-US"/>
    </w:rPr>
  </w:style>
  <w:style w:type="paragraph" w:styleId="TtuloTDC">
    <w:name w:val="TOC Heading"/>
    <w:basedOn w:val="Ttulo1"/>
    <w:next w:val="Normal"/>
    <w:uiPriority w:val="39"/>
    <w:unhideWhenUsed/>
    <w:qFormat/>
    <w:rsid w:val="009D7D43"/>
    <w:pPr>
      <w:outlineLvl w:val="9"/>
    </w:pPr>
  </w:style>
  <w:style w:type="paragraph" w:styleId="TDC1">
    <w:name w:val="toc 1"/>
    <w:basedOn w:val="Normal"/>
    <w:next w:val="Normal"/>
    <w:autoRedefine/>
    <w:uiPriority w:val="39"/>
    <w:unhideWhenUsed/>
    <w:qFormat/>
    <w:rsid w:val="003514A3"/>
    <w:pPr>
      <w:tabs>
        <w:tab w:val="left" w:pos="440"/>
        <w:tab w:val="right" w:leader="dot" w:pos="9342"/>
      </w:tabs>
      <w:spacing w:after="100"/>
    </w:pPr>
  </w:style>
  <w:style w:type="paragraph" w:styleId="TDC2">
    <w:name w:val="toc 2"/>
    <w:basedOn w:val="Normal"/>
    <w:next w:val="Normal"/>
    <w:autoRedefine/>
    <w:uiPriority w:val="39"/>
    <w:unhideWhenUsed/>
    <w:qFormat/>
    <w:rsid w:val="007B74B5"/>
    <w:pPr>
      <w:tabs>
        <w:tab w:val="left" w:pos="880"/>
        <w:tab w:val="right" w:leader="dot" w:pos="9352"/>
      </w:tabs>
      <w:spacing w:after="100"/>
      <w:jc w:val="both"/>
    </w:pPr>
  </w:style>
  <w:style w:type="paragraph" w:customStyle="1" w:styleId="Tabla">
    <w:name w:val="Tabla"/>
    <w:basedOn w:val="Normal"/>
    <w:link w:val="TablaCar"/>
    <w:autoRedefine/>
    <w:qFormat/>
    <w:rsid w:val="00153779"/>
    <w:pPr>
      <w:spacing w:before="60" w:after="120" w:line="240" w:lineRule="auto"/>
      <w:jc w:val="center"/>
    </w:pPr>
    <w:rPr>
      <w:rFonts w:ascii="Arial" w:hAnsi="Arial"/>
      <w:position w:val="-6"/>
    </w:rPr>
  </w:style>
  <w:style w:type="character" w:customStyle="1" w:styleId="TablaCar">
    <w:name w:val="Tabla Car"/>
    <w:link w:val="Tabla"/>
    <w:rsid w:val="00153779"/>
    <w:rPr>
      <w:rFonts w:ascii="Arial" w:hAnsi="Arial"/>
      <w:position w:val="-6"/>
      <w:sz w:val="22"/>
      <w:szCs w:val="22"/>
      <w:lang w:eastAsia="en-US"/>
    </w:rPr>
  </w:style>
  <w:style w:type="paragraph" w:styleId="TDC3">
    <w:name w:val="toc 3"/>
    <w:basedOn w:val="Normal"/>
    <w:next w:val="Normal"/>
    <w:autoRedefine/>
    <w:uiPriority w:val="39"/>
    <w:unhideWhenUsed/>
    <w:rsid w:val="00153779"/>
    <w:pPr>
      <w:spacing w:after="100"/>
      <w:ind w:left="440"/>
    </w:pPr>
  </w:style>
  <w:style w:type="table" w:styleId="Tablaconcuadrcula1clara">
    <w:name w:val="Grid Table 1 Light"/>
    <w:basedOn w:val="Tablanormal"/>
    <w:uiPriority w:val="46"/>
    <w:rsid w:val="00153779"/>
    <w:rPr>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153779"/>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2-nfasis5">
    <w:name w:val="Grid Table 2 Accent 5"/>
    <w:basedOn w:val="Tablanormal"/>
    <w:uiPriority w:val="47"/>
    <w:rsid w:val="00153779"/>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5">
    <w:name w:val="Grid Table 4 Accent 5"/>
    <w:basedOn w:val="Tablanormal"/>
    <w:uiPriority w:val="49"/>
    <w:rsid w:val="0015377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5">
    <w:name w:val="Grid Table 5 Dark Accent 5"/>
    <w:basedOn w:val="Tablanormal"/>
    <w:uiPriority w:val="50"/>
    <w:rsid w:val="0015377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4-nfasis1">
    <w:name w:val="Grid Table 4 Accent 1"/>
    <w:basedOn w:val="Tablanormal"/>
    <w:uiPriority w:val="49"/>
    <w:rsid w:val="0015377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ita">
    <w:name w:val="Quote"/>
    <w:basedOn w:val="Normal"/>
    <w:next w:val="Normal"/>
    <w:link w:val="CitaCar"/>
    <w:uiPriority w:val="29"/>
    <w:qFormat/>
    <w:rsid w:val="009D7D43"/>
    <w:pPr>
      <w:spacing w:before="120" w:after="120"/>
      <w:ind w:left="720"/>
    </w:pPr>
    <w:rPr>
      <w:color w:val="44546A"/>
      <w:sz w:val="24"/>
      <w:szCs w:val="24"/>
    </w:rPr>
  </w:style>
  <w:style w:type="character" w:customStyle="1" w:styleId="CitaCar">
    <w:name w:val="Cita Car"/>
    <w:link w:val="Cita"/>
    <w:uiPriority w:val="29"/>
    <w:rsid w:val="009D7D43"/>
    <w:rPr>
      <w:color w:val="44546A"/>
      <w:sz w:val="24"/>
      <w:szCs w:val="24"/>
    </w:rPr>
  </w:style>
  <w:style w:type="paragraph" w:styleId="Citadestacada">
    <w:name w:val="Intense Quote"/>
    <w:basedOn w:val="Normal"/>
    <w:next w:val="Normal"/>
    <w:link w:val="CitadestacadaCar"/>
    <w:uiPriority w:val="30"/>
    <w:qFormat/>
    <w:rsid w:val="009D7D43"/>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CitadestacadaCar">
    <w:name w:val="Cita destacada Car"/>
    <w:link w:val="Citadestacada"/>
    <w:uiPriority w:val="30"/>
    <w:rsid w:val="009D7D43"/>
    <w:rPr>
      <w:rFonts w:ascii="Calibri Light" w:eastAsia="SimSun" w:hAnsi="Calibri Light" w:cs="Times New Roman"/>
      <w:color w:val="44546A"/>
      <w:spacing w:val="-6"/>
      <w:sz w:val="32"/>
      <w:szCs w:val="32"/>
    </w:rPr>
  </w:style>
  <w:style w:type="character" w:styleId="Ttulodellibro">
    <w:name w:val="Book Title"/>
    <w:uiPriority w:val="33"/>
    <w:qFormat/>
    <w:rsid w:val="009D7D43"/>
    <w:rPr>
      <w:b/>
      <w:bCs/>
      <w:smallCaps/>
      <w:spacing w:val="10"/>
    </w:rPr>
  </w:style>
  <w:style w:type="table" w:styleId="Tabladelista4-nfasis5">
    <w:name w:val="List Table 4 Accent 5"/>
    <w:basedOn w:val="Tablanormal"/>
    <w:uiPriority w:val="49"/>
    <w:rsid w:val="00FB17C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ontenidodeTabla">
    <w:name w:val="Contenido de Tabla"/>
    <w:basedOn w:val="Normal"/>
    <w:link w:val="ContenidodeTablaCar"/>
    <w:autoRedefine/>
    <w:qFormat/>
    <w:rsid w:val="00B34958"/>
    <w:pPr>
      <w:tabs>
        <w:tab w:val="left" w:pos="0"/>
      </w:tabs>
      <w:spacing w:after="0" w:line="240" w:lineRule="auto"/>
      <w:ind w:left="720" w:hanging="720"/>
      <w:jc w:val="both"/>
    </w:pPr>
    <w:rPr>
      <w:rFonts w:ascii="Arial" w:eastAsia="Arial Narrow" w:hAnsi="Arial" w:cs="Arial"/>
      <w:b/>
      <w:noProof/>
      <w:sz w:val="20"/>
      <w:szCs w:val="20"/>
      <w:lang w:eastAsia="en-US" w:bidi="en-US"/>
    </w:rPr>
  </w:style>
  <w:style w:type="character" w:customStyle="1" w:styleId="ContenidodeTablaCar">
    <w:name w:val="Contenido de Tabla Car"/>
    <w:basedOn w:val="Fuentedeprrafopredeter"/>
    <w:link w:val="ContenidodeTabla"/>
    <w:rsid w:val="00B34958"/>
    <w:rPr>
      <w:rFonts w:ascii="Arial" w:eastAsia="Arial Narrow" w:hAnsi="Arial" w:cs="Arial"/>
      <w:b/>
      <w:noProof/>
      <w:lang w:eastAsia="en-US" w:bidi="en-US"/>
    </w:rPr>
  </w:style>
  <w:style w:type="table" w:styleId="Tablaconcuadrcula6concolores-nfasis5">
    <w:name w:val="Grid Table 6 Colorful Accent 5"/>
    <w:basedOn w:val="Tablanormal"/>
    <w:uiPriority w:val="51"/>
    <w:rsid w:val="0011018F"/>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11">
    <w:name w:val="Tabla con cuadrícula 4 - Énfasis 11"/>
    <w:basedOn w:val="Tablanormal"/>
    <w:uiPriority w:val="49"/>
    <w:rsid w:val="00BE57ED"/>
    <w:rPr>
      <w:rFonts w:asciiTheme="minorHAnsi" w:eastAsia="MS Mincho" w:hAnsiTheme="minorHAnsi" w:cstheme="minorBidi"/>
      <w:sz w:val="24"/>
      <w:szCs w:val="24"/>
      <w:lang w:val="es-ES_tradnl"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BE57E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066422469535584891gmail-msolistparagraph">
    <w:name w:val="m_-8066422469535584891gmail-msolistparagraph"/>
    <w:basedOn w:val="Normal"/>
    <w:uiPriority w:val="99"/>
    <w:qFormat/>
    <w:rsid w:val="00481D42"/>
    <w:pPr>
      <w:spacing w:before="100" w:beforeAutospacing="1" w:after="100" w:afterAutospacing="1" w:line="240" w:lineRule="auto"/>
    </w:pPr>
    <w:rPr>
      <w:rFonts w:ascii="Times New Roman" w:hAnsi="Times New Roman"/>
      <w:sz w:val="24"/>
      <w:szCs w:val="24"/>
    </w:rPr>
  </w:style>
  <w:style w:type="paragraph" w:customStyle="1" w:styleId="m-1503781109626803323gmail-msolistparagraph">
    <w:name w:val="m_-1503781109626803323gmail-msolistparagraph"/>
    <w:basedOn w:val="Normal"/>
    <w:uiPriority w:val="99"/>
    <w:qFormat/>
    <w:rsid w:val="00481D42"/>
    <w:pPr>
      <w:spacing w:before="100" w:beforeAutospacing="1" w:after="100" w:afterAutospacing="1" w:line="240" w:lineRule="auto"/>
    </w:pPr>
    <w:rPr>
      <w:rFonts w:ascii="Times New Roman" w:hAnsi="Times New Roman"/>
      <w:sz w:val="24"/>
      <w:szCs w:val="24"/>
    </w:rPr>
  </w:style>
  <w:style w:type="paragraph" w:customStyle="1" w:styleId="Prrafodelista1">
    <w:name w:val="Párrafo de lista1"/>
    <w:basedOn w:val="Normal"/>
    <w:uiPriority w:val="99"/>
    <w:qFormat/>
    <w:rsid w:val="00481D42"/>
    <w:pPr>
      <w:spacing w:after="200" w:line="276" w:lineRule="auto"/>
      <w:ind w:left="720"/>
    </w:pPr>
    <w:rPr>
      <w:lang w:val="es-ES" w:eastAsia="es-ES"/>
    </w:rPr>
  </w:style>
  <w:style w:type="paragraph" w:customStyle="1" w:styleId="Sinespaciado1">
    <w:name w:val="Sin espaciado1"/>
    <w:link w:val="NoSpacingChar"/>
    <w:qFormat/>
    <w:rsid w:val="00481D42"/>
    <w:rPr>
      <w:lang w:val="es-ES" w:eastAsia="en-US"/>
    </w:rPr>
  </w:style>
  <w:style w:type="character" w:customStyle="1" w:styleId="NoSpacingChar">
    <w:name w:val="No Spacing Char"/>
    <w:link w:val="Sinespaciado1"/>
    <w:locked/>
    <w:rsid w:val="00481D42"/>
    <w:rPr>
      <w:sz w:val="22"/>
      <w:lang w:val="es-ES" w:eastAsia="en-US"/>
    </w:rPr>
  </w:style>
  <w:style w:type="character" w:customStyle="1" w:styleId="file">
    <w:name w:val="file"/>
    <w:basedOn w:val="Fuentedeprrafopredeter"/>
    <w:rsid w:val="00481D42"/>
  </w:style>
  <w:style w:type="paragraph" w:customStyle="1" w:styleId="TableParagraph">
    <w:name w:val="Table Paragraph"/>
    <w:basedOn w:val="Normal"/>
    <w:uiPriority w:val="1"/>
    <w:qFormat/>
    <w:rsid w:val="002E68E8"/>
    <w:pPr>
      <w:widowControl w:val="0"/>
      <w:autoSpaceDE w:val="0"/>
      <w:autoSpaceDN w:val="0"/>
      <w:spacing w:after="0" w:line="240" w:lineRule="auto"/>
      <w:ind w:left="69"/>
    </w:pPr>
    <w:rPr>
      <w:rFonts w:ascii="Arial" w:eastAsia="Arial" w:hAnsi="Arial" w:cs="Arial"/>
      <w:lang w:val="en-US" w:eastAsia="en-US"/>
    </w:rPr>
  </w:style>
  <w:style w:type="table" w:styleId="Tablaconcuadrcula1clara-nfasis5">
    <w:name w:val="Grid Table 1 Light Accent 5"/>
    <w:basedOn w:val="Tablanormal"/>
    <w:uiPriority w:val="46"/>
    <w:rsid w:val="002E68E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il">
    <w:name w:val="il"/>
    <w:basedOn w:val="Fuentedeprrafopredeter"/>
    <w:rsid w:val="00BC1764"/>
  </w:style>
  <w:style w:type="table" w:styleId="Tablaconcuadrcula4-nfasis3">
    <w:name w:val="Grid Table 4 Accent 3"/>
    <w:basedOn w:val="Tablanormal"/>
    <w:uiPriority w:val="49"/>
    <w:rsid w:val="00A83F2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4">
    <w:name w:val="Grid Table 4 Accent 4"/>
    <w:basedOn w:val="Tablanormal"/>
    <w:uiPriority w:val="49"/>
    <w:rsid w:val="008825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6">
    <w:name w:val="Grid Table 4 Accent 6"/>
    <w:basedOn w:val="Tablanormal"/>
    <w:uiPriority w:val="49"/>
    <w:rsid w:val="0088255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
    <w:name w:val="Grid Table 4"/>
    <w:basedOn w:val="Tablanormal"/>
    <w:uiPriority w:val="49"/>
    <w:rsid w:val="0088255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D53A7"/>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ecs-title">
    <w:name w:val="specs-title"/>
    <w:basedOn w:val="Fuentedeprrafopredeter"/>
    <w:rsid w:val="000F34D8"/>
  </w:style>
  <w:style w:type="character" w:customStyle="1" w:styleId="price">
    <w:name w:val="price"/>
    <w:basedOn w:val="Fuentedeprrafopredeter"/>
    <w:rsid w:val="000F34D8"/>
  </w:style>
  <w:style w:type="character" w:customStyle="1" w:styleId="tagred">
    <w:name w:val="tag_red"/>
    <w:basedOn w:val="Fuentedeprrafopredeter"/>
    <w:rsid w:val="000F34D8"/>
  </w:style>
  <w:style w:type="character" w:customStyle="1" w:styleId="TextonotaalfinalCar">
    <w:name w:val="Texto nota al final Car"/>
    <w:basedOn w:val="Fuentedeprrafopredeter"/>
    <w:link w:val="Textonotaalfinal"/>
    <w:uiPriority w:val="99"/>
    <w:semiHidden/>
    <w:rsid w:val="000F34D8"/>
    <w:rPr>
      <w:rFonts w:eastAsia="Calibri"/>
      <w:lang w:val="es-ES" w:eastAsia="en-US"/>
    </w:rPr>
  </w:style>
  <w:style w:type="paragraph" w:styleId="Textonotaalfinal">
    <w:name w:val="endnote text"/>
    <w:basedOn w:val="Normal"/>
    <w:link w:val="TextonotaalfinalCar"/>
    <w:uiPriority w:val="99"/>
    <w:semiHidden/>
    <w:unhideWhenUsed/>
    <w:rsid w:val="000F34D8"/>
    <w:pPr>
      <w:spacing w:after="0" w:line="240" w:lineRule="auto"/>
    </w:pPr>
    <w:rPr>
      <w:sz w:val="20"/>
      <w:szCs w:val="20"/>
      <w:lang w:val="es-ES" w:eastAsia="en-US"/>
    </w:rPr>
  </w:style>
  <w:style w:type="paragraph" w:styleId="TDC4">
    <w:name w:val="toc 4"/>
    <w:basedOn w:val="Normal"/>
    <w:next w:val="Normal"/>
    <w:autoRedefine/>
    <w:uiPriority w:val="39"/>
    <w:unhideWhenUsed/>
    <w:rsid w:val="00711413"/>
    <w:pPr>
      <w:spacing w:after="100"/>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711413"/>
    <w:pPr>
      <w:spacing w:after="100"/>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711413"/>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711413"/>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711413"/>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711413"/>
    <w:pPr>
      <w:spacing w:after="100"/>
      <w:ind w:left="1760"/>
    </w:pPr>
    <w:rPr>
      <w:rFonts w:asciiTheme="minorHAnsi" w:eastAsiaTheme="minorEastAsia" w:hAnsiTheme="minorHAnsi" w:cstheme="minorBidi"/>
    </w:rPr>
  </w:style>
  <w:style w:type="table" w:customStyle="1" w:styleId="TableNormal1">
    <w:name w:val="Table Normal"/>
    <w:uiPriority w:val="2"/>
    <w:unhideWhenUsed/>
    <w:qFormat/>
    <w:rsid w:val="0070538D"/>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4318DF"/>
    <w:rPr>
      <w:color w:val="800080" w:themeColor="followedHyperlink"/>
      <w:u w:val="single"/>
    </w:rPr>
  </w:style>
  <w:style w:type="character" w:customStyle="1" w:styleId="Mencinsinresolver1">
    <w:name w:val="Mención sin resolver1"/>
    <w:basedOn w:val="Fuentedeprrafopredeter"/>
    <w:uiPriority w:val="99"/>
    <w:semiHidden/>
    <w:unhideWhenUsed/>
    <w:rsid w:val="00EB2764"/>
    <w:rPr>
      <w:color w:val="605E5C"/>
      <w:shd w:val="clear" w:color="auto" w:fill="E1DFDD"/>
    </w:rPr>
  </w:style>
  <w:style w:type="character" w:customStyle="1" w:styleId="fieldset-legend">
    <w:name w:val="fieldset-legend"/>
    <w:basedOn w:val="Fuentedeprrafopredeter"/>
    <w:rsid w:val="006A1F11"/>
  </w:style>
  <w:style w:type="paragraph" w:customStyle="1" w:styleId="m8838579824855279602gmail-m-4771708631000324522gmail-msolistparagraph">
    <w:name w:val="m_8838579824855279602gmail-m_-4771708631000324522gmail-msolistparagraph"/>
    <w:basedOn w:val="Normal"/>
    <w:uiPriority w:val="99"/>
    <w:qFormat/>
    <w:rsid w:val="006A1F11"/>
    <w:pPr>
      <w:spacing w:before="100" w:beforeAutospacing="1" w:after="100" w:afterAutospacing="1" w:line="240" w:lineRule="auto"/>
    </w:pPr>
    <w:rPr>
      <w:rFonts w:ascii="Times New Roman" w:hAnsi="Times New Roman"/>
      <w:sz w:val="24"/>
      <w:szCs w:val="24"/>
    </w:rPr>
  </w:style>
  <w:style w:type="character" w:customStyle="1" w:styleId="nfasissutil1">
    <w:name w:val="Énfasis sutil1"/>
    <w:uiPriority w:val="19"/>
    <w:qFormat/>
    <w:rsid w:val="006A1F11"/>
    <w:rPr>
      <w:i/>
      <w:color w:val="5A5A5A"/>
    </w:rPr>
  </w:style>
  <w:style w:type="character" w:customStyle="1" w:styleId="nfasisintenso1">
    <w:name w:val="Énfasis intenso1"/>
    <w:uiPriority w:val="21"/>
    <w:qFormat/>
    <w:rsid w:val="006A1F11"/>
    <w:rPr>
      <w:b/>
      <w:i/>
      <w:sz w:val="24"/>
      <w:szCs w:val="24"/>
      <w:u w:val="single"/>
    </w:rPr>
  </w:style>
  <w:style w:type="character" w:customStyle="1" w:styleId="Referenciasutil1">
    <w:name w:val="Referencia sutil1"/>
    <w:uiPriority w:val="31"/>
    <w:qFormat/>
    <w:rsid w:val="006A1F11"/>
    <w:rPr>
      <w:sz w:val="24"/>
      <w:szCs w:val="24"/>
      <w:u w:val="single"/>
    </w:rPr>
  </w:style>
  <w:style w:type="character" w:customStyle="1" w:styleId="Referenciaintensa1">
    <w:name w:val="Referencia intensa1"/>
    <w:uiPriority w:val="32"/>
    <w:qFormat/>
    <w:rsid w:val="006A1F11"/>
    <w:rPr>
      <w:b/>
      <w:sz w:val="24"/>
      <w:u w:val="single"/>
    </w:rPr>
  </w:style>
  <w:style w:type="paragraph" w:customStyle="1" w:styleId="Estilopredeterminado">
    <w:name w:val="Estilo predeterminado"/>
    <w:uiPriority w:val="99"/>
    <w:qFormat/>
    <w:rsid w:val="006A1F11"/>
    <w:pPr>
      <w:tabs>
        <w:tab w:val="left" w:pos="708"/>
      </w:tabs>
      <w:suppressAutoHyphens/>
      <w:spacing w:after="200" w:line="276" w:lineRule="atLeast"/>
    </w:pPr>
    <w:rPr>
      <w:color w:val="00000A"/>
      <w:lang w:eastAsia="zh-CN"/>
    </w:rPr>
  </w:style>
  <w:style w:type="table" w:styleId="Tabladelista4-nfasis3">
    <w:name w:val="List Table 4 Accent 3"/>
    <w:basedOn w:val="Tablanormal"/>
    <w:uiPriority w:val="49"/>
    <w:rsid w:val="006A1F11"/>
    <w:rPr>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
    <w:name w:val="Sin lista1"/>
    <w:next w:val="Sinlista"/>
    <w:uiPriority w:val="99"/>
    <w:semiHidden/>
    <w:unhideWhenUsed/>
    <w:rsid w:val="006A1F11"/>
  </w:style>
  <w:style w:type="table" w:styleId="Tablaconcuadrcula1clara-nfasis3">
    <w:name w:val="Grid Table 1 Light Accent 3"/>
    <w:basedOn w:val="Tablanormal"/>
    <w:uiPriority w:val="46"/>
    <w:rsid w:val="006A1F11"/>
    <w:rPr>
      <w:lang w:eastAsia="es-MX"/>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4-nfasis31">
    <w:name w:val="Tabla de lista 4 - Énfasis 31"/>
    <w:basedOn w:val="Tablanormal"/>
    <w:next w:val="Tabladelista4-nfasis3"/>
    <w:uiPriority w:val="49"/>
    <w:rsid w:val="006A1F11"/>
    <w:rPr>
      <w:lang w:eastAsia="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Refdenotaalfinal">
    <w:name w:val="endnote reference"/>
    <w:basedOn w:val="Fuentedeprrafopredeter"/>
    <w:uiPriority w:val="99"/>
    <w:semiHidden/>
    <w:unhideWhenUsed/>
    <w:rsid w:val="006A1F11"/>
    <w:rPr>
      <w:vertAlign w:val="superscript"/>
    </w:rPr>
  </w:style>
  <w:style w:type="table" w:styleId="Tablaconcuadrcula5oscura-nfasis3">
    <w:name w:val="Grid Table 5 Dark Accent 3"/>
    <w:basedOn w:val="Tablanormal"/>
    <w:uiPriority w:val="50"/>
    <w:rsid w:val="00E33F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6concolores-nfasis3">
    <w:name w:val="Grid Table 6 Colorful Accent 3"/>
    <w:basedOn w:val="Tablanormal"/>
    <w:uiPriority w:val="51"/>
    <w:rsid w:val="002A2D9E"/>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2-nfasis3">
    <w:name w:val="Grid Table 2 Accent 3"/>
    <w:basedOn w:val="Tablanormal"/>
    <w:uiPriority w:val="47"/>
    <w:rsid w:val="00BE135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2">
    <w:name w:val="Mención sin resolver2"/>
    <w:basedOn w:val="Fuentedeprrafopredeter"/>
    <w:uiPriority w:val="99"/>
    <w:semiHidden/>
    <w:unhideWhenUsed/>
    <w:rsid w:val="00F05EFF"/>
    <w:rPr>
      <w:color w:val="605E5C"/>
      <w:shd w:val="clear" w:color="auto" w:fill="E1DFDD"/>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Car Car,ft Car"/>
    <w:basedOn w:val="Fuentedeprrafopredeter"/>
    <w:uiPriority w:val="99"/>
    <w:semiHidden/>
    <w:rsid w:val="009F23BC"/>
    <w:rPr>
      <w:sz w:val="20"/>
      <w:szCs w:val="20"/>
    </w:rPr>
  </w:style>
  <w:style w:type="character" w:customStyle="1" w:styleId="PiedepginaCar1">
    <w:name w:val="Pie de página Car1"/>
    <w:aliases w:val="pie de página Car1"/>
    <w:basedOn w:val="Fuentedeprrafopredeter"/>
    <w:uiPriority w:val="99"/>
    <w:semiHidden/>
    <w:rsid w:val="009F23BC"/>
  </w:style>
  <w:style w:type="character" w:customStyle="1" w:styleId="TextoindependienteCar1">
    <w:name w:val="Texto independiente Car1"/>
    <w:aliases w:val="body text Car1,bt Car1"/>
    <w:basedOn w:val="Fuentedeprrafopredeter"/>
    <w:semiHidden/>
    <w:rsid w:val="009F23BC"/>
  </w:style>
  <w:style w:type="character" w:customStyle="1" w:styleId="TextocomentarioCar1">
    <w:name w:val="Texto comentario Car1"/>
    <w:basedOn w:val="Fuentedeprrafopredeter"/>
    <w:uiPriority w:val="99"/>
    <w:semiHidden/>
    <w:rsid w:val="009F23BC"/>
    <w:rPr>
      <w:sz w:val="20"/>
      <w:szCs w:val="20"/>
    </w:rPr>
  </w:style>
  <w:style w:type="character" w:customStyle="1" w:styleId="Ttulo7Car1">
    <w:name w:val="Título 7 Car1"/>
    <w:basedOn w:val="Fuentedeprrafopredeter"/>
    <w:uiPriority w:val="9"/>
    <w:semiHidden/>
    <w:rsid w:val="009F23BC"/>
    <w:rPr>
      <w:rFonts w:asciiTheme="majorHAnsi" w:eastAsiaTheme="majorEastAsia" w:hAnsiTheme="majorHAnsi" w:cstheme="majorBidi"/>
      <w:i/>
      <w:iCs/>
      <w:color w:val="243F60" w:themeColor="accent1" w:themeShade="7F"/>
      <w:sz w:val="22"/>
      <w:szCs w:val="22"/>
    </w:rPr>
  </w:style>
  <w:style w:type="character" w:customStyle="1" w:styleId="Ttulo8Car1">
    <w:name w:val="Título 8 Car1"/>
    <w:basedOn w:val="Fuentedeprrafopredeter"/>
    <w:uiPriority w:val="9"/>
    <w:semiHidden/>
    <w:rsid w:val="009F23BC"/>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9F23BC"/>
    <w:rPr>
      <w:rFonts w:asciiTheme="majorHAnsi" w:eastAsiaTheme="majorEastAsia" w:hAnsiTheme="majorHAnsi" w:cstheme="majorBidi"/>
      <w:i/>
      <w:iCs/>
      <w:color w:val="272727" w:themeColor="text1" w:themeTint="D8"/>
      <w:sz w:val="21"/>
      <w:szCs w:val="21"/>
    </w:rPr>
  </w:style>
  <w:style w:type="character" w:customStyle="1" w:styleId="TtuloCar1">
    <w:name w:val="Título Car1"/>
    <w:basedOn w:val="Fuentedeprrafopredeter"/>
    <w:uiPriority w:val="10"/>
    <w:rsid w:val="009F23BC"/>
    <w:rPr>
      <w:rFonts w:asciiTheme="majorHAnsi" w:eastAsiaTheme="majorEastAsia" w:hAnsiTheme="majorHAnsi" w:cstheme="majorBidi"/>
      <w:spacing w:val="-10"/>
      <w:kern w:val="28"/>
      <w:sz w:val="56"/>
      <w:szCs w:val="56"/>
    </w:rPr>
  </w:style>
  <w:style w:type="character" w:customStyle="1" w:styleId="EncabezadoCar1">
    <w:name w:val="Encabezado Car1"/>
    <w:basedOn w:val="Fuentedeprrafopredeter"/>
    <w:uiPriority w:val="99"/>
    <w:semiHidden/>
    <w:rsid w:val="009F23BC"/>
  </w:style>
  <w:style w:type="character" w:customStyle="1" w:styleId="TextodegloboCar1">
    <w:name w:val="Texto de globo Car1"/>
    <w:basedOn w:val="Fuentedeprrafopredeter"/>
    <w:uiPriority w:val="99"/>
    <w:semiHidden/>
    <w:rsid w:val="009F23BC"/>
    <w:rPr>
      <w:rFonts w:ascii="Segoe UI" w:hAnsi="Segoe UI" w:cs="Segoe UI"/>
      <w:sz w:val="18"/>
      <w:szCs w:val="18"/>
    </w:rPr>
  </w:style>
  <w:style w:type="character" w:customStyle="1" w:styleId="SangradetextonormalCar1">
    <w:name w:val="Sangría de texto normal Car1"/>
    <w:basedOn w:val="Fuentedeprrafopredeter"/>
    <w:uiPriority w:val="99"/>
    <w:semiHidden/>
    <w:rsid w:val="009F23BC"/>
  </w:style>
  <w:style w:type="character" w:customStyle="1" w:styleId="Textoindependiente3Car1">
    <w:name w:val="Texto independiente 3 Car1"/>
    <w:basedOn w:val="Fuentedeprrafopredeter"/>
    <w:uiPriority w:val="99"/>
    <w:semiHidden/>
    <w:rsid w:val="009F23BC"/>
    <w:rPr>
      <w:sz w:val="16"/>
      <w:szCs w:val="16"/>
    </w:rPr>
  </w:style>
  <w:style w:type="character" w:customStyle="1" w:styleId="SubttuloCar1">
    <w:name w:val="Subtítulo Car1"/>
    <w:basedOn w:val="Fuentedeprrafopredeter"/>
    <w:uiPriority w:val="11"/>
    <w:rsid w:val="009F23BC"/>
    <w:rPr>
      <w:rFonts w:asciiTheme="minorHAnsi" w:eastAsiaTheme="minorEastAsia" w:hAnsiTheme="minorHAnsi" w:cstheme="minorBidi"/>
      <w:color w:val="5A5A5A" w:themeColor="text1" w:themeTint="A5"/>
      <w:spacing w:val="15"/>
    </w:rPr>
  </w:style>
  <w:style w:type="character" w:customStyle="1" w:styleId="AsuntodelcomentarioCar1">
    <w:name w:val="Asunto del comentario Car1"/>
    <w:basedOn w:val="TextocomentarioCar1"/>
    <w:uiPriority w:val="99"/>
    <w:semiHidden/>
    <w:rsid w:val="009F23BC"/>
    <w:rPr>
      <w:b/>
      <w:bCs/>
      <w:sz w:val="20"/>
      <w:szCs w:val="20"/>
    </w:rPr>
  </w:style>
  <w:style w:type="character" w:customStyle="1" w:styleId="CitaCar1">
    <w:name w:val="Cita Car1"/>
    <w:basedOn w:val="Fuentedeprrafopredeter"/>
    <w:uiPriority w:val="29"/>
    <w:rsid w:val="009F23BC"/>
    <w:rPr>
      <w:i/>
      <w:iCs/>
      <w:color w:val="404040" w:themeColor="text1" w:themeTint="BF"/>
    </w:rPr>
  </w:style>
  <w:style w:type="character" w:customStyle="1" w:styleId="CitadestacadaCar1">
    <w:name w:val="Cita destacada Car1"/>
    <w:basedOn w:val="Fuentedeprrafopredeter"/>
    <w:uiPriority w:val="30"/>
    <w:rsid w:val="009F23BC"/>
    <w:rPr>
      <w:i/>
      <w:iCs/>
      <w:color w:val="4F81BD" w:themeColor="accent1"/>
    </w:rPr>
  </w:style>
  <w:style w:type="character" w:customStyle="1" w:styleId="TextonotaalfinalCar1">
    <w:name w:val="Texto nota al final Car1"/>
    <w:basedOn w:val="Fuentedeprrafopredeter"/>
    <w:uiPriority w:val="99"/>
    <w:semiHidden/>
    <w:rsid w:val="009F23BC"/>
    <w:rPr>
      <w:sz w:val="20"/>
      <w:szCs w:val="20"/>
    </w:rPr>
  </w:style>
  <w:style w:type="table" w:customStyle="1" w:styleId="A10">
    <w:name w:val="A1"/>
    <w:basedOn w:val="Tablanormal"/>
    <w:uiPriority w:val="99"/>
    <w:rsid w:val="009F23BC"/>
    <w:pPr>
      <w:spacing w:after="200" w:line="276" w:lineRule="auto"/>
    </w:pPr>
    <w:rPr>
      <w:rFonts w:asciiTheme="minorHAnsi" w:eastAsiaTheme="minorHAnsi" w:hAnsiTheme="minorHAnsi" w:cstheme="minorBidi"/>
      <w:lang w:val="en-US" w:eastAsia="en-US"/>
    </w:rPr>
    <w:tblPr>
      <w:tblStyleRowBandSize w:val="1"/>
      <w:tblStyleColBandSize w:val="1"/>
      <w:tblInd w:w="0" w:type="nil"/>
      <w:tblCellMar>
        <w:left w:w="70" w:type="dxa"/>
        <w:right w:w="70" w:type="dxa"/>
      </w:tblCellMar>
    </w:tblPr>
  </w:style>
  <w:style w:type="table" w:customStyle="1" w:styleId="a3">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a">
    <w:basedOn w:val="TableNormal0"/>
    <w:pPr>
      <w:spacing w:after="200" w:line="276" w:lineRule="auto"/>
    </w:pPr>
    <w:rPr>
      <w:color w:val="76923C"/>
      <w:sz w:val="24"/>
      <w:szCs w:val="24"/>
    </w:rPr>
    <w:tblPr>
      <w:tblStyleRowBandSize w:val="1"/>
      <w:tblStyleColBandSize w:val="1"/>
      <w:tblCellMar>
        <w:left w:w="70" w:type="dxa"/>
        <w:right w:w="70" w:type="dxa"/>
      </w:tblCellMar>
    </w:tblPr>
    <w:tcPr>
      <w:shd w:val="clear" w:color="auto" w:fill="EBF1DD"/>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0611A4"/>
    <w:rPr>
      <w:color w:val="605E5C"/>
      <w:shd w:val="clear" w:color="auto" w:fill="E1DFDD"/>
    </w:rPr>
  </w:style>
  <w:style w:type="paragraph" w:customStyle="1" w:styleId="msonormal0">
    <w:name w:val="msonormal"/>
    <w:basedOn w:val="Normal"/>
    <w:rsid w:val="000611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0611A4"/>
    <w:pP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68">
    <w:name w:val="xl68"/>
    <w:basedOn w:val="Normal"/>
    <w:rsid w:val="000611A4"/>
    <w:pP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69">
    <w:name w:val="xl69"/>
    <w:basedOn w:val="Normal"/>
    <w:rsid w:val="000611A4"/>
    <w:pPr>
      <w:shd w:val="clear" w:color="000000" w:fill="FFFFFF"/>
      <w:spacing w:before="100" w:beforeAutospacing="1" w:after="100" w:afterAutospacing="1" w:line="240" w:lineRule="auto"/>
    </w:pPr>
    <w:rPr>
      <w:rFonts w:ascii="Arial" w:eastAsia="Times New Roman" w:hAnsi="Arial" w:cs="Arial"/>
      <w:b/>
      <w:bCs/>
      <w:sz w:val="18"/>
      <w:szCs w:val="18"/>
    </w:rPr>
  </w:style>
  <w:style w:type="paragraph" w:customStyle="1" w:styleId="xl70">
    <w:name w:val="xl70"/>
    <w:basedOn w:val="Normal"/>
    <w:rsid w:val="000611A4"/>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1">
    <w:name w:val="xl71"/>
    <w:basedOn w:val="Normal"/>
    <w:rsid w:val="000611A4"/>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72">
    <w:name w:val="xl72"/>
    <w:basedOn w:val="Normal"/>
    <w:rsid w:val="000611A4"/>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3">
    <w:name w:val="xl73"/>
    <w:basedOn w:val="Normal"/>
    <w:rsid w:val="000611A4"/>
    <w:pPr>
      <w:pBdr>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4">
    <w:name w:val="xl74"/>
    <w:basedOn w:val="Normal"/>
    <w:rsid w:val="000611A4"/>
    <w:pPr>
      <w:pBdr>
        <w:left w:val="single" w:sz="4" w:space="0" w:color="auto"/>
        <w:bottom w:val="single" w:sz="4" w:space="0" w:color="auto"/>
        <w:right w:val="single" w:sz="8"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5">
    <w:name w:val="xl75"/>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6">
    <w:name w:val="xl76"/>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77">
    <w:name w:val="xl77"/>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8">
    <w:name w:val="xl78"/>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79">
    <w:name w:val="xl79"/>
    <w:basedOn w:val="Normal"/>
    <w:rsid w:val="000611A4"/>
    <w:pPr>
      <w:pBdr>
        <w:top w:val="single" w:sz="4" w:space="0" w:color="auto"/>
        <w:left w:val="single" w:sz="4" w:space="0" w:color="auto"/>
        <w:bottom w:val="single" w:sz="4" w:space="0" w:color="auto"/>
        <w:right w:val="single" w:sz="8"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80">
    <w:name w:val="xl80"/>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81">
    <w:name w:val="xl81"/>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82">
    <w:name w:val="xl82"/>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83">
    <w:name w:val="xl83"/>
    <w:basedOn w:val="Normal"/>
    <w:rsid w:val="000611A4"/>
    <w:pPr>
      <w:pBdr>
        <w:top w:val="single" w:sz="4" w:space="0" w:color="auto"/>
        <w:left w:val="single" w:sz="4" w:space="0" w:color="auto"/>
        <w:bottom w:val="single" w:sz="4" w:space="0" w:color="auto"/>
        <w:right w:val="single" w:sz="8"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84">
    <w:name w:val="xl84"/>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85">
    <w:name w:val="xl85"/>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86">
    <w:name w:val="xl86"/>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87">
    <w:name w:val="xl87"/>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88">
    <w:name w:val="xl88"/>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89">
    <w:name w:val="xl89"/>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90">
    <w:name w:val="xl90"/>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1">
    <w:name w:val="xl91"/>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2">
    <w:name w:val="xl92"/>
    <w:basedOn w:val="Normal"/>
    <w:rsid w:val="000611A4"/>
    <w:pPr>
      <w:pBdr>
        <w:top w:val="single" w:sz="4" w:space="0" w:color="auto"/>
        <w:left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93">
    <w:name w:val="xl93"/>
    <w:basedOn w:val="Normal"/>
    <w:rsid w:val="000611A4"/>
    <w:pPr>
      <w:pBdr>
        <w:top w:val="single" w:sz="4" w:space="0" w:color="auto"/>
        <w:left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4">
    <w:name w:val="xl94"/>
    <w:basedOn w:val="Normal"/>
    <w:rsid w:val="000611A4"/>
    <w:pPr>
      <w:pBdr>
        <w:top w:val="single" w:sz="4" w:space="0" w:color="auto"/>
        <w:left w:val="single" w:sz="4" w:space="0" w:color="auto"/>
        <w:right w:val="single" w:sz="4"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5">
    <w:name w:val="xl95"/>
    <w:basedOn w:val="Normal"/>
    <w:rsid w:val="000611A4"/>
    <w:pPr>
      <w:pBdr>
        <w:top w:val="single" w:sz="8" w:space="0" w:color="auto"/>
        <w:left w:val="single" w:sz="8"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96">
    <w:name w:val="xl96"/>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97">
    <w:name w:val="xl97"/>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8">
    <w:name w:val="xl98"/>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99">
    <w:name w:val="xl99"/>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100">
    <w:name w:val="xl100"/>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101">
    <w:name w:val="xl101"/>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Narrow" w:eastAsia="Times New Roman" w:hAnsi="Arial Narrow" w:cs="Times New Roman"/>
      <w:b/>
      <w:bCs/>
      <w:sz w:val="14"/>
      <w:szCs w:val="14"/>
    </w:rPr>
  </w:style>
  <w:style w:type="paragraph" w:customStyle="1" w:styleId="xl102">
    <w:name w:val="xl102"/>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03">
    <w:name w:val="xl103"/>
    <w:basedOn w:val="Normal"/>
    <w:rsid w:val="000611A4"/>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04">
    <w:name w:val="xl104"/>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105">
    <w:name w:val="xl105"/>
    <w:basedOn w:val="Normal"/>
    <w:rsid w:val="000611A4"/>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106">
    <w:name w:val="xl106"/>
    <w:basedOn w:val="Normal"/>
    <w:rsid w:val="000611A4"/>
    <w:pPr>
      <w:pBdr>
        <w:top w:val="single" w:sz="4" w:space="0" w:color="auto"/>
        <w:left w:val="single" w:sz="8"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7">
    <w:name w:val="xl107"/>
    <w:basedOn w:val="Normal"/>
    <w:rsid w:val="000611A4"/>
    <w:pPr>
      <w:pBdr>
        <w:top w:val="single" w:sz="4" w:space="0" w:color="auto"/>
        <w:left w:val="single" w:sz="4" w:space="0" w:color="auto"/>
        <w:bottom w:val="single" w:sz="4" w:space="0" w:color="auto"/>
        <w:right w:val="single" w:sz="8" w:space="0" w:color="auto"/>
      </w:pBdr>
      <w:shd w:val="clear" w:color="000000" w:fill="DAF2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08">
    <w:name w:val="xl108"/>
    <w:basedOn w:val="Normal"/>
    <w:rsid w:val="000611A4"/>
    <w:pPr>
      <w:pBdr>
        <w:top w:val="single" w:sz="4" w:space="0" w:color="auto"/>
        <w:left w:val="single" w:sz="8" w:space="0" w:color="auto"/>
        <w:bottom w:val="single" w:sz="4"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9">
    <w:name w:val="xl109"/>
    <w:basedOn w:val="Normal"/>
    <w:rsid w:val="000611A4"/>
    <w:pPr>
      <w:pBdr>
        <w:top w:val="single" w:sz="4" w:space="0" w:color="auto"/>
        <w:left w:val="single" w:sz="4" w:space="0" w:color="auto"/>
        <w:bottom w:val="single" w:sz="4" w:space="0" w:color="auto"/>
        <w:right w:val="single" w:sz="8"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sz w:val="14"/>
      <w:szCs w:val="14"/>
    </w:rPr>
  </w:style>
  <w:style w:type="paragraph" w:customStyle="1" w:styleId="xl110">
    <w:name w:val="xl110"/>
    <w:basedOn w:val="Normal"/>
    <w:rsid w:val="000611A4"/>
    <w:pPr>
      <w:pBdr>
        <w:top w:val="single" w:sz="4" w:space="0" w:color="auto"/>
        <w:left w:val="single" w:sz="4" w:space="0" w:color="auto"/>
        <w:bottom w:val="single" w:sz="4" w:space="0" w:color="auto"/>
        <w:right w:val="single" w:sz="8"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11">
    <w:name w:val="xl111"/>
    <w:basedOn w:val="Normal"/>
    <w:rsid w:val="000611A4"/>
    <w:pPr>
      <w:pBdr>
        <w:left w:val="single" w:sz="8" w:space="0" w:color="auto"/>
        <w:bottom w:val="single" w:sz="4" w:space="0" w:color="auto"/>
        <w:right w:val="single" w:sz="4" w:space="0" w:color="auto"/>
      </w:pBdr>
      <w:shd w:val="clear" w:color="000000" w:fill="DAF2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2">
    <w:name w:val="xl112"/>
    <w:basedOn w:val="Normal"/>
    <w:rsid w:val="000611A4"/>
    <w:pPr>
      <w:pBdr>
        <w:top w:val="single" w:sz="4" w:space="0" w:color="auto"/>
        <w:left w:val="single" w:sz="8" w:space="0" w:color="auto"/>
        <w:right w:val="single" w:sz="4" w:space="0" w:color="auto"/>
      </w:pBdr>
      <w:shd w:val="clear" w:color="000000" w:fill="FBE2D5"/>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3">
    <w:name w:val="xl113"/>
    <w:basedOn w:val="Normal"/>
    <w:rsid w:val="000611A4"/>
    <w:pPr>
      <w:pBdr>
        <w:top w:val="single" w:sz="4" w:space="0" w:color="auto"/>
        <w:left w:val="single" w:sz="4" w:space="0" w:color="auto"/>
        <w:right w:val="single" w:sz="8" w:space="0" w:color="auto"/>
      </w:pBdr>
      <w:shd w:val="clear" w:color="000000" w:fill="FBE2D5"/>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14">
    <w:name w:val="xl114"/>
    <w:basedOn w:val="Normal"/>
    <w:rsid w:val="000611A4"/>
    <w:pPr>
      <w:pBdr>
        <w:top w:val="single" w:sz="8" w:space="0" w:color="auto"/>
        <w:left w:val="single" w:sz="4" w:space="0" w:color="auto"/>
        <w:bottom w:val="single" w:sz="8" w:space="0" w:color="auto"/>
        <w:right w:val="single" w:sz="8" w:space="0" w:color="auto"/>
      </w:pBdr>
      <w:shd w:val="clear" w:color="000000" w:fill="D0D0D0"/>
      <w:spacing w:before="100" w:beforeAutospacing="1" w:after="100" w:afterAutospacing="1" w:line="240" w:lineRule="auto"/>
      <w:jc w:val="right"/>
      <w:textAlignment w:val="center"/>
    </w:pPr>
    <w:rPr>
      <w:rFonts w:ascii="Arial Narrow" w:eastAsia="Times New Roman" w:hAnsi="Arial Narrow" w:cs="Times New Roman"/>
      <w:b/>
      <w:bCs/>
      <w:sz w:val="14"/>
      <w:szCs w:val="14"/>
    </w:rPr>
  </w:style>
  <w:style w:type="paragraph" w:customStyle="1" w:styleId="xl115">
    <w:name w:val="xl115"/>
    <w:basedOn w:val="Normal"/>
    <w:rsid w:val="000611A4"/>
    <w:pPr>
      <w:pBdr>
        <w:top w:val="single" w:sz="8" w:space="0" w:color="auto"/>
        <w:left w:val="single" w:sz="8"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6">
    <w:name w:val="xl116"/>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7">
    <w:name w:val="xl117"/>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8">
    <w:name w:val="xl118"/>
    <w:basedOn w:val="Normal"/>
    <w:rsid w:val="000611A4"/>
    <w:pPr>
      <w:pBdr>
        <w:top w:val="single" w:sz="8" w:space="0" w:color="auto"/>
        <w:left w:val="single" w:sz="4" w:space="0" w:color="auto"/>
        <w:bottom w:val="single" w:sz="8" w:space="0" w:color="auto"/>
        <w:right w:val="single" w:sz="4"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9">
    <w:name w:val="xl119"/>
    <w:basedOn w:val="Normal"/>
    <w:rsid w:val="000611A4"/>
    <w:pPr>
      <w:pBdr>
        <w:top w:val="single" w:sz="8" w:space="0" w:color="auto"/>
        <w:left w:val="single" w:sz="4" w:space="0" w:color="auto"/>
        <w:bottom w:val="single" w:sz="8" w:space="0" w:color="auto"/>
        <w:right w:val="single" w:sz="8" w:space="0" w:color="auto"/>
      </w:pBdr>
      <w:shd w:val="clear" w:color="000000" w:fill="D0D0D0"/>
      <w:spacing w:before="100" w:beforeAutospacing="1" w:after="100" w:afterAutospacing="1" w:line="240" w:lineRule="auto"/>
      <w:jc w:val="center"/>
      <w:textAlignment w:val="center"/>
    </w:pPr>
    <w:rPr>
      <w:rFonts w:ascii="Arial" w:eastAsia="Times New Roman" w:hAnsi="Arial" w:cs="Arial"/>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209649">
      <w:bodyDiv w:val="1"/>
      <w:marLeft w:val="0"/>
      <w:marRight w:val="0"/>
      <w:marTop w:val="0"/>
      <w:marBottom w:val="0"/>
      <w:divBdr>
        <w:top w:val="none" w:sz="0" w:space="0" w:color="auto"/>
        <w:left w:val="none" w:sz="0" w:space="0" w:color="auto"/>
        <w:bottom w:val="none" w:sz="0" w:space="0" w:color="auto"/>
        <w:right w:val="none" w:sz="0" w:space="0" w:color="auto"/>
      </w:divBdr>
    </w:div>
    <w:div w:id="411851049">
      <w:bodyDiv w:val="1"/>
      <w:marLeft w:val="0"/>
      <w:marRight w:val="0"/>
      <w:marTop w:val="0"/>
      <w:marBottom w:val="0"/>
      <w:divBdr>
        <w:top w:val="none" w:sz="0" w:space="0" w:color="auto"/>
        <w:left w:val="none" w:sz="0" w:space="0" w:color="auto"/>
        <w:bottom w:val="none" w:sz="0" w:space="0" w:color="auto"/>
        <w:right w:val="none" w:sz="0" w:space="0" w:color="auto"/>
      </w:divBdr>
    </w:div>
    <w:div w:id="678002167">
      <w:bodyDiv w:val="1"/>
      <w:marLeft w:val="0"/>
      <w:marRight w:val="0"/>
      <w:marTop w:val="0"/>
      <w:marBottom w:val="0"/>
      <w:divBdr>
        <w:top w:val="none" w:sz="0" w:space="0" w:color="auto"/>
        <w:left w:val="none" w:sz="0" w:space="0" w:color="auto"/>
        <w:bottom w:val="none" w:sz="0" w:space="0" w:color="auto"/>
        <w:right w:val="none" w:sz="0" w:space="0" w:color="auto"/>
      </w:divBdr>
    </w:div>
    <w:div w:id="778599822">
      <w:bodyDiv w:val="1"/>
      <w:marLeft w:val="0"/>
      <w:marRight w:val="0"/>
      <w:marTop w:val="0"/>
      <w:marBottom w:val="0"/>
      <w:divBdr>
        <w:top w:val="none" w:sz="0" w:space="0" w:color="auto"/>
        <w:left w:val="none" w:sz="0" w:space="0" w:color="auto"/>
        <w:bottom w:val="none" w:sz="0" w:space="0" w:color="auto"/>
        <w:right w:val="none" w:sz="0" w:space="0" w:color="auto"/>
      </w:divBdr>
    </w:div>
    <w:div w:id="802231643">
      <w:bodyDiv w:val="1"/>
      <w:marLeft w:val="0"/>
      <w:marRight w:val="0"/>
      <w:marTop w:val="0"/>
      <w:marBottom w:val="0"/>
      <w:divBdr>
        <w:top w:val="none" w:sz="0" w:space="0" w:color="auto"/>
        <w:left w:val="none" w:sz="0" w:space="0" w:color="auto"/>
        <w:bottom w:val="none" w:sz="0" w:space="0" w:color="auto"/>
        <w:right w:val="none" w:sz="0" w:space="0" w:color="auto"/>
      </w:divBdr>
    </w:div>
    <w:div w:id="1059858701">
      <w:bodyDiv w:val="1"/>
      <w:marLeft w:val="0"/>
      <w:marRight w:val="0"/>
      <w:marTop w:val="0"/>
      <w:marBottom w:val="0"/>
      <w:divBdr>
        <w:top w:val="none" w:sz="0" w:space="0" w:color="auto"/>
        <w:left w:val="none" w:sz="0" w:space="0" w:color="auto"/>
        <w:bottom w:val="none" w:sz="0" w:space="0" w:color="auto"/>
        <w:right w:val="none" w:sz="0" w:space="0" w:color="auto"/>
      </w:divBdr>
    </w:div>
    <w:div w:id="1236083876">
      <w:bodyDiv w:val="1"/>
      <w:marLeft w:val="0"/>
      <w:marRight w:val="0"/>
      <w:marTop w:val="0"/>
      <w:marBottom w:val="0"/>
      <w:divBdr>
        <w:top w:val="none" w:sz="0" w:space="0" w:color="auto"/>
        <w:left w:val="none" w:sz="0" w:space="0" w:color="auto"/>
        <w:bottom w:val="none" w:sz="0" w:space="0" w:color="auto"/>
        <w:right w:val="none" w:sz="0" w:space="0" w:color="auto"/>
      </w:divBdr>
    </w:div>
    <w:div w:id="1698847808">
      <w:bodyDiv w:val="1"/>
      <w:marLeft w:val="0"/>
      <w:marRight w:val="0"/>
      <w:marTop w:val="0"/>
      <w:marBottom w:val="0"/>
      <w:divBdr>
        <w:top w:val="none" w:sz="0" w:space="0" w:color="auto"/>
        <w:left w:val="none" w:sz="0" w:space="0" w:color="auto"/>
        <w:bottom w:val="none" w:sz="0" w:space="0" w:color="auto"/>
        <w:right w:val="none" w:sz="0" w:space="0" w:color="auto"/>
      </w:divBdr>
    </w:div>
    <w:div w:id="1729449272">
      <w:bodyDiv w:val="1"/>
      <w:marLeft w:val="0"/>
      <w:marRight w:val="0"/>
      <w:marTop w:val="0"/>
      <w:marBottom w:val="0"/>
      <w:divBdr>
        <w:top w:val="none" w:sz="0" w:space="0" w:color="auto"/>
        <w:left w:val="none" w:sz="0" w:space="0" w:color="auto"/>
        <w:bottom w:val="none" w:sz="0" w:space="0" w:color="auto"/>
        <w:right w:val="none" w:sz="0" w:space="0" w:color="auto"/>
      </w:divBdr>
    </w:div>
    <w:div w:id="1966085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rX+VskO9LZSzfj4QiJo1A0KpQ==">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</go:docsCustomData>
</go:gDocsCustomXmlDataStorage>
</file>

<file path=customXml/itemProps1.xml><?xml version="1.0" encoding="utf-8"?>
<ds:datastoreItem xmlns:ds="http://schemas.openxmlformats.org/officeDocument/2006/customXml" ds:itemID="{6AB41095-A88C-4D79-A220-D1A659B225B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13388</Words>
  <Characters>73635</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jarroyo</dc:creator>
  <cp:lastModifiedBy>Monica Martinez Burgos</cp:lastModifiedBy>
  <cp:revision>3</cp:revision>
  <cp:lastPrinted>2025-02-04T16:49:00Z</cp:lastPrinted>
  <dcterms:created xsi:type="dcterms:W3CDTF">2025-02-04T16:48:00Z</dcterms:created>
  <dcterms:modified xsi:type="dcterms:W3CDTF">2025-02-04T16:49:00Z</dcterms:modified>
</cp:coreProperties>
</file>