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ANEXO TÉCNICO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ESPECIFICACIONES TÉCNICAS MÍNIMAS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Objeto: 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PRESTAR EL SERVICIO DE WAF EN NUBE Y SOPORTE TÉCNICO PARA PROTECCIÓN DE LAS APLICACIONES WEB DE LA SECRETARÍA DISTRITAL DE MOVILIDAD.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ALCANCE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2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57"/>
        <w:gridCol w:w="7065"/>
        <w:tblGridChange w:id="0">
          <w:tblGrid>
            <w:gridCol w:w="1757"/>
            <w:gridCol w:w="7065"/>
          </w:tblGrid>
        </w:tblGridChange>
      </w:tblGrid>
      <w:tr>
        <w:trPr>
          <w:cantSplit w:val="0"/>
          <w:trHeight w:val="327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SERVICIO WAF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Requerimiento Mínimo</w:t>
            </w:r>
          </w:p>
        </w:tc>
      </w:tr>
      <w:tr>
        <w:trPr>
          <w:cantSplit w:val="0"/>
          <w:trHeight w:val="966.91406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Servicio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 servicio de Waf en Nube para la protección de las aplicaciones web definidas por la entidad, incluyendo la implementación, configuración, puesta en operación, soporte y acompañamiento técnico requerido durante la ejecución contractual.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Aplicaciones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se debe dimensionar para proteger un total de mínimo 20 aplicaciones.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Ancho de Banda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se debe dimensionar teniendo en cuenta que el tráfico legítimo hacia las aplicaciones será de máximo 350 Mbps.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gridSpan w:val="2"/>
            <w:tcBorders>
              <w:left w:color="000000" w:space="0" w:sz="6" w:val="single"/>
              <w:right w:color="000000" w:space="0" w:sz="6" w:val="single"/>
            </w:tcBorders>
            <w:shd w:fill="d0cec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SOPORTE TÉCNICO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gridSpan w:val="2"/>
            <w:tcBorders>
              <w:left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debe incluir soporte técnico 7*24*365, durante toda la vigencia contractual.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soporte deberá prestarse mediante los siguientes canales de atención: chat, portal web o mesa de servicio, correo electrónico y atención telefónica.</w:t>
            </w:r>
          </w:p>
        </w:tc>
      </w:tr>
    </w:tbl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5"/>
        <w:gridCol w:w="6420"/>
        <w:tblGridChange w:id="0">
          <w:tblGrid>
            <w:gridCol w:w="2415"/>
            <w:gridCol w:w="6420"/>
          </w:tblGrid>
        </w:tblGridChange>
      </w:tblGrid>
      <w:tr>
        <w:trPr>
          <w:cantSplit w:val="0"/>
          <w:trHeight w:val="339" w:hRule="atLeast"/>
          <w:tblHeader w:val="1"/>
        </w:trPr>
        <w:tc>
          <w:tcPr>
            <w:gridSpan w:val="2"/>
            <w:shd w:fill="d0cece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ESPECIFICACIONES TÉCNICAS GENERALES</w:t>
            </w:r>
          </w:p>
        </w:tc>
      </w:tr>
      <w:tr>
        <w:trPr>
          <w:cantSplit w:val="0"/>
          <w:trHeight w:val="565" w:hRule="atLeast"/>
          <w:tblHeader w:val="1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Requerimiento Mínimo</w:t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GENERALIDADES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la protección de las aplicaciones web de la entidad frente a amenazas externas, conforme al alcance contratado.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la administración e implementación de políticas de seguridad de manera centralizada y segura.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 estar en capacidad de proteger aplicaciones web sin importar su ubicación (en premisas o en nubes públicas o en nubes privadas).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deberá ser compatible con IPv6.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La solución deberá contar con consola de administración web con acceso cifrado mediante HTTPS.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El contratista deberá contar con un procedimiento documentado de gestión de incidentes de seguridad de la información relacionados al servicio WAF en nube, alineado con buenas prácticas como ISO/IEC 27035 o equivalentes.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El contratista deberá garantizar una disponibilidad mínima mensual del servicio WAF en nube del 99,996%, con el fin de asegurar la continuidad de las aplicaciones protegidas por la Entidad.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240" w:before="240" w:line="24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La solución WAF en nube deberá contar con capacidades de generación, consulta y conservación de logs. Como mínimo, deberá permitir la retención de logs de incidentes, ataques y tráfico por sesenta (60) días, y logs de auditoría y reportes de diagnóstico por noventa (90) días, sin perjuicio del envío de eventos de seguridad a través de Syslog o mecanismos equivalentes para apoyar las actividades de monitoreo, análisis y gestión de incidentes.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 DE PROTECCIÓN DE APLICACIONES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contar con capacidades para detectar, prevenir, alertar, mitigar y/o bloquear amenazas dirigidas a aplicaciones web, mediante mecanismos nativos de la solución, tales como firmas, análisis de comportamiento, reputación, validación de protocolo, aprendizaje automático u otros mecanismos equivalentes.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Como mínimo, la solución deberá brindar protección frente a amenazas asociadas a: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Cross-Site Scripting (XSS)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SQL Injection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Cross Site Request Forgery (CSRF)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Remote File Inclusion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Local File Inclusion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Inyección de Comandos 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Protección contra Exposición o fuga de información sensible.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Manipulación maliciosa de cabeceras HTTP, HTTP header overflow,XML o JSON malformado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Ataques automatizados sobre formularios o portales de autenticación.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Bots maliciosos, crawlers no deseados y tráfico automatizado anómalo.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Alteración o reutilización indebida de cookies o sesiones.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Abuso, explotación o uso malicioso del protocolo HTTP/HTTPS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la habilitación y configuración de políticas basadas en los estándares HSTS, CSP, X-Frame-Options, X-XSS-Protection y Referrer-Policy para la protección de ataques: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Ataques de degradación de HTTPS a HTTP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Sniffing (escucha) de tráfico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Inyección de código malicioso (JavaScript, CSS, iframe, etc.).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Clickjacking (ocultar una página dentro de un iframe para engañar al usuario y hacer clic donde no quiere).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Filtración de datos sensibles a través de la cabecera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both"/>
              <w:rPr>
                <w:rFonts w:ascii="Roboto" w:cs="Roboto" w:eastAsia="Roboto" w:hAnsi="Roboto"/>
                <w:color w:val="444746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Entre otros.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color w:val="444746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contar con mecanismos para detectar y mitigar ataques de fuerza bruta, relleno de credenciales, bots maliciosos, crawling abusivo y otros intentos repetitivos o automatizados de acceso no autorizado.</w:t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detectar, clasificar y mitigar tráfico automatizado malicioso, incluyendo bots no deseados, scraping abusivo, crawlers maliciosos o intentos automatizados de explotación.</w:t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el uso de listas blancas y listas negras basadas en dirección IP de origen, así como mecanismos de reputación de IP con actualización automática. 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 DE DETECCIÓN AVANZADA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 contar con métodos de detección de ataques que no estén basados únicamente en firmas, sino que incorpore mecanismos complementarios para identificar comportamientos anómalos o amenazas emergentes; tales como: Inteligencia Artificial (IA) y Machine Learning (ML) basados en modelos matemáticos y probabilísticos que permitan recolectar, aprender, probar y regenerar los datos que deben ser aceptados en los parámetros del sitio web protegido.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 aprender de forma automática los métodos usados en los sitios web protegidos, con el fin de mejorar la detección de anomalías y reducir falsos positivos y falsos negativos.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La solución debe contar con capacidades de Inteligencia Artificial (IA) y/o Machine Learning (ML) que permitan la detección de anomalías en los parámetros protegidos y la identificación integral de ataques, ya sea mediante motores dedicados o a través de un motor analítico unificado propio de la arquitectura del fabricante ofertado.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debe soportar utilizar servicios adicionales de inteligencia del fabricante para incrementar el nivel de protección ante amenazas avanzadas.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 permitir detectar comportamientos automatizados o no humanos mediante señales del cliente, desafíos técnicos o mecanismos equivalentes.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 proteger contra ataques de día cero basados en aprendizaje automático, análisis de comportamiento.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 MÍNIMAS DE PROTECCIÓN DoS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contar con capacidades para prevenir, detectar y mitigar ataques de denegación de servicio a nivel de aplicación o sobre HTTP/HTTPS o a nivel de aplicación, mediante acciones como alertar, denegar y bloquear por un tiempo determinado.</w:t>
            </w:r>
          </w:p>
        </w:tc>
      </w:tr>
      <w:tr>
        <w:trPr>
          <w:cantSplit w:val="0"/>
          <w:trHeight w:val="760.9570312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 DE GEOLOCALIZACIÓN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deberá contar con capacidades de protección, restricción o bloqueo basadas en la localización geográfica del origen del tráfico.</w:t>
            </w:r>
          </w:p>
        </w:tc>
      </w:tr>
      <w:tr>
        <w:trPr>
          <w:cantSplit w:val="0"/>
          <w:trHeight w:val="141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CARACTERÍSTICAS DE INTEGRACIÓN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poder integrarse con ambientes de nube pública (al menos AWS y Azure), así como con infraestructuras administradas por la entidad o por terceros autorizados, cuando ello resulte necesario para la continuidad del servicio.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permitir, cuando aplique, la actualización de parámetros de direccionamiento hacia orígenes o servidores de aplicación cuyo direccionamiento cambie dinámicamente.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VALIDACIÓN DE PROTOCOLO Y CONTENIDO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validar el protocolo HTTP/HTTPS y,, permitir validación de estructuras o esquemas como OpenAPI, XML y JSON, así como definir acciones frente a anomalías o eventos sospechosos detectados.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PROTECCIÓN DE APLICACIONES WEB Y APIs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proteger aplicaciones web y APIs, así como permitir interoperabilidad con especificaciones OpenAPI 3.0 o equivalentes.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GESTIÓN DEL TRÁFICO WEB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la administración de políticas de seguridad para tráfico HTTP/HTTPS.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bloquear métodos HTTP no autorizados o no requeridos.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definir límites o restricciones al tamaño de archivos cargados.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redirigir tráfico HTTP a HTTPS.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realizar reescritura o transformación controlada de solicitudes o respuestas HTTP, cuando la necesidad técnica lo justifique.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insertar encabezados requeridos por la arquitectura, incluyendo X-Forwarded-For o equivalentes, cuando aplique.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direccionar tráfico hacia orígenes, servicios o aplicaciones específicas con base en criterios configurables.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definir reglas para aceptar, restringir, bloquear o limitar solicitudes con base en URL, origen, comportamiento o tasa de consumo.</w:t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CARACTERISTICAS DE ADMINISTRACION Y MONITOREO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16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debe contar con dashboards, que muestren como mínimo información en tiempo real del tráfico, amenazas, peticiones bloqueadas e información de licenciamiento.</w:t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16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firmware debe soportar interfaz gráfica web para la configuración de las funciones del sistema, utilizando navegadores disponibles gratuitamente y protocolo HTTPS.</w:t>
            </w:r>
          </w:p>
        </w:tc>
      </w:tr>
      <w:tr>
        <w:trPr>
          <w:cantSplit w:val="0"/>
          <w:trHeight w:val="113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Debe proveer las siguientes informaciones en la interfaz gráfica de gestión: estadísticas de throughput HTTP en tiempo real, estadísticas de eventos de ataques detectados/bloqueados, estadísticas de requisición HTTP en tiempo real y los últimos logs de eventos del sistema.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configuración de administración de la solución debe permitir la utilización de perfiles, roles y privilegios diferenciados.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Debe ser capaz de realizar notificaciones de eventos de seguridad a través de Syslog.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deberá permitir análisis en tiempo real e histórico del tráfico y de la actividad asociada a amenazas o bots.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SERVICIOS PROFESIONALES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contratista deberá incluir, como parte integral del servicio, las actividades de: Implementación, configuración, pruebas y puesta en marcha del servicio ofertado.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Las actividades de implementación deberán ser ejecutadas por personal con competencias y/o certificaciones vigentes relacionadas con la solución ofertada.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REQUERIMIENTOS DE IMPLEMENTACIÓN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ejecución de las actividades de implementación iniciará una vez el supervisor del contrato apruebe el equipo de trabajo presentado por el contratista.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Las actividades de implementación deberán planearse y validarse en conjunto con la entidad.  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debe realizar el levantamiento de requerimientos técnicos y configuración inicial del servicio.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debe ejecutar pruebas funcionales de las aplicaciones que pasarán por el waf antes de su paso a producción.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Configuración y estabilización del servicio ofertado.</w:t>
            </w:r>
          </w:p>
        </w:tc>
      </w:tr>
      <w:tr>
        <w:trPr>
          <w:cantSplit w:val="0"/>
          <w:trHeight w:val="486.914062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deberá presentar al supervisor del contrato, dentro de los cinco (5) días hábiles siguientes a la suscripción del acta de inicio, el cronograma detallado de ejecución para la implementación del servicio.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implementación y entrega del servicio a satisfacción de la Entidad no podrá superar quince (15) días hábiles, contados a partir de la entrega del cronograma detallado de ejecución.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REQUERIMIENTOS DE SOPORTE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contratista deberá garantizar soporte para el servicio ofertado en un esquema 7 x 24 x 365.</w:t>
            </w:r>
          </w:p>
        </w:tc>
      </w:tr>
      <w:tr>
        <w:trPr>
          <w:cantSplit w:val="0"/>
          <w:trHeight w:val="366.94335937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servicio de soporte debe incluir atención de requerimientos técnicos de operación, administración, configuración e incidentes asociados al servicio ofertado. 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Prestar soporte por vía telefónica, por e-mail, chat o mesa de servicio, portal web y realizar el escalamiento de casos con el fabricante, en caso de requerirse durante el tiempo del servicio WAF.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Sesiones remotas de soporte, para atención de requerimientos realizados o por fallas y afectación del servicio WAF hacia las aplicaciones de la SDM.</w:t>
            </w:r>
          </w:p>
        </w:tc>
      </w:tr>
      <w:tr>
        <w:trPr>
          <w:cantSplit w:val="0"/>
          <w:trHeight w:val="632.775878906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AUTENTICACIÓN DEL PORTAL DE ADMINISTRACIÓN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solución debe soportar mecanismos de autenticación robusta para el acceso al portal de administración, incluyendo como mínimo  autenticación multifactor ( FA).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vMerge w:val="restart"/>
            <w:tcBorders>
              <w:top w:color="000000" w:space="0" w:sz="7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EQUIPO DE TRABAJO</w:t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Para la ejecución del contrato se requieren los siguientes perfiles los cuales deben ser presentados por el contratista dentro de los cinco (5) días hábiles siguientes a la suscripción del acta de inicio, para revisión y aprobación del supervisor de de conformidad con lo establecido a continuación: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Gerente de Proyecto 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 (1) profesional en Ingeniería de Sistemas o Electrónica o Eléctrica o de Redes o de Telecomunicaciones o áreas afines. Deberá contar como mínimo con una Especialización y/o Maestría en áreas relacionadas con TI y/o  certificación PMP vigente.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Deberá acreditar experiencia profesional general mínima de cinco (5) años y experiencia específica como Coordinador de Proyectos y/o Gerente de Proyectos  y/o  Líder de Proyectos  y demostrar al menos dos (2) años en proyectos de implementación de servicios relacionados con el objeto contractual, contados a partir de la fecha de expedición de la tarjeta profesional.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Profesional en Ingeniería o Afines 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 (1) profesional en Ingeniería de Sistemas o Electrónica o Eléctrica o de Redes o de Telecomunicaciones o en áreas afines, quien desempeñará el rol de líder implementador.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Deberá contar como mínimo con la certificación vigente del fabricante del servicio ofertado.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Deberá acreditar experiencia profesional mínima de cinco (5) años en implementación y/o soporte y/o mantenimiento de soluciones waf y/o servicios de seguridad en nube relacionados con protección de aplicaciones web y/o servicios de seguridad perimetral que incluyan componentes de protección de aplicaciones web, contados a partir de la expedición de la tarjeta profesional.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0" w:hRule="atLeast"/>
          <w:tblHeader w:val="0"/>
        </w:trPr>
        <w:tc>
          <w:tcPr>
            <w:vMerge w:val="continue"/>
            <w:tcBorders>
              <w:top w:color="000000" w:space="0" w:sz="7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3345"/>
        <w:gridCol w:w="2130"/>
        <w:gridCol w:w="1935"/>
        <w:tblGridChange w:id="0">
          <w:tblGrid>
            <w:gridCol w:w="1365"/>
            <w:gridCol w:w="3345"/>
            <w:gridCol w:w="2130"/>
            <w:gridCol w:w="1935"/>
          </w:tblGrid>
        </w:tblGridChange>
      </w:tblGrid>
      <w:tr>
        <w:trPr>
          <w:cantSplit w:val="0"/>
          <w:trHeight w:val="355.95703125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0cec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Acuerdos de Niveles de Servicio SLA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Servicio de Soporte Técnico 7*24*365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0cec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Criticidad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0cec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Descripción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0cec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Tiempo Respuesta Máx.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0cece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Tiempo Solución Máx.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Crítica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Servicio WAF- Inoperativo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minutos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horas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Crítica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Bloqueo tráfico legítimo masivo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30 minutos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4 horas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Falsos positivos afectando usuarios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hora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 horas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Consultas/Optimización reglas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horas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40.0" w:type="dxa"/>
              <w:left w:w="120.0" w:type="dxa"/>
              <w:bottom w:w="1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días hábiles</w:t>
            </w:r>
          </w:p>
        </w:tc>
      </w:tr>
    </w:tbl>
    <w:p w:rsidR="00000000" w:rsidDel="00000000" w:rsidP="00000000" w:rsidRDefault="00000000" w:rsidRPr="00000000" w14:paraId="000000C8">
      <w:pPr>
        <w:spacing w:after="120" w:before="24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Elaboró:</w:t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4095750</wp:posOffset>
            </wp:positionH>
            <wp:positionV relativeFrom="paragraph">
              <wp:posOffset>155600</wp:posOffset>
            </wp:positionV>
            <wp:extent cx="425906" cy="376526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5906" cy="3765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Estructuradores Técnicos</w:t>
      </w:r>
    </w:p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Jasvleidy Fajardo Rozo--Profesional Especializado-Estructurador Técnico-OTIC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3762375</wp:posOffset>
            </wp:positionH>
            <wp:positionV relativeFrom="paragraph">
              <wp:posOffset>190500</wp:posOffset>
            </wp:positionV>
            <wp:extent cx="428625" cy="386603"/>
            <wp:effectExtent b="0" l="0" r="0" t="0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866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Elsa Marlen Baracaldo Huertas-Contratista-Estructurador Técnico-OTIC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pgSz w:h="15840" w:w="12240" w:orient="portrait"/>
      <w:pgMar w:bottom="1985" w:top="1985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left="-66" w:firstLine="0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6381"/>
      </w:tabs>
      <w:spacing w:after="0" w:line="240" w:lineRule="auto"/>
      <w:ind w:left="-709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Secretaría Distrital de Movilidad</w:t>
    </w:r>
  </w:p>
  <w:p w:rsidR="00000000" w:rsidDel="00000000" w:rsidP="00000000" w:rsidRDefault="00000000" w:rsidRPr="00000000" w14:paraId="000000D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6381"/>
      </w:tabs>
      <w:spacing w:after="0" w:line="240" w:lineRule="auto"/>
      <w:ind w:left="-709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Calle 13 # 37 - 35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4706620</wp:posOffset>
          </wp:positionH>
          <wp:positionV relativeFrom="paragraph">
            <wp:posOffset>0</wp:posOffset>
          </wp:positionV>
          <wp:extent cx="755015" cy="812800"/>
          <wp:effectExtent b="0" l="0" r="0" t="0"/>
          <wp:wrapNone/>
          <wp:docPr descr="logo.jpg" id="2" name="image3.jpg"/>
          <a:graphic>
            <a:graphicData uri="http://schemas.openxmlformats.org/drawingml/2006/picture">
              <pic:pic>
                <pic:nvPicPr>
                  <pic:cNvPr descr="logo.jpg" id="0" name="image3.jpg"/>
                  <pic:cNvPicPr preferRelativeResize="0"/>
                </pic:nvPicPr>
                <pic:blipFill>
                  <a:blip r:embed="rId1"/>
                  <a:srcRect b="5678" l="42619" r="44070" t="0"/>
                  <a:stretch>
                    <a:fillRect/>
                  </a:stretch>
                </pic:blipFill>
                <pic:spPr>
                  <a:xfrm>
                    <a:off x="0" y="0"/>
                    <a:ext cx="755015" cy="812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6381"/>
      </w:tabs>
      <w:spacing w:after="0" w:line="240" w:lineRule="auto"/>
      <w:ind w:left="-709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Teléfono: (1) 364 9400</w:t>
    </w:r>
  </w:p>
  <w:p w:rsidR="00000000" w:rsidDel="00000000" w:rsidP="00000000" w:rsidRDefault="00000000" w:rsidRPr="00000000" w14:paraId="000000D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6381"/>
      </w:tabs>
      <w:spacing w:after="0" w:line="240" w:lineRule="auto"/>
      <w:ind w:left="-709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www.movilidadbogota.gov.co</w:t>
    </w:r>
  </w:p>
  <w:p w:rsidR="00000000" w:rsidDel="00000000" w:rsidP="00000000" w:rsidRDefault="00000000" w:rsidRPr="00000000" w14:paraId="000000D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6381"/>
      </w:tabs>
      <w:spacing w:after="0" w:line="240" w:lineRule="auto"/>
      <w:ind w:left="-709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Información: Línea 195</w:t>
    </w:r>
  </w:p>
  <w:p w:rsidR="00000000" w:rsidDel="00000000" w:rsidP="00000000" w:rsidRDefault="00000000" w:rsidRPr="00000000" w14:paraId="000000D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6381"/>
      </w:tabs>
      <w:spacing w:after="0" w:line="240" w:lineRule="auto"/>
      <w:ind w:left="-709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2686050</wp:posOffset>
          </wp:positionH>
          <wp:positionV relativeFrom="page">
            <wp:posOffset>306070</wp:posOffset>
          </wp:positionV>
          <wp:extent cx="2144395" cy="598805"/>
          <wp:effectExtent b="0" l="0" r="0" t="0"/>
          <wp:wrapSquare wrapText="bothSides" distB="0" distT="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4395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tabs>
        <w:tab w:val="center" w:leader="none" w:pos="4252"/>
        <w:tab w:val="right" w:leader="none" w:pos="8504"/>
      </w:tabs>
      <w:spacing w:after="0"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tabs>
        <w:tab w:val="center" w:leader="none" w:pos="4252"/>
        <w:tab w:val="right" w:leader="none" w:pos="8504"/>
      </w:tabs>
      <w:spacing w:after="0"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tabs>
        <w:tab w:val="center" w:leader="none" w:pos="4252"/>
        <w:tab w:val="right" w:leader="none" w:pos="8504"/>
      </w:tabs>
      <w:spacing w:after="0" w:line="240" w:lineRule="auto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="240" w:lineRule="auto"/>
      <w:jc w:val="both"/>
    </w:pPr>
    <w:rPr>
      <w:rFonts w:ascii="Arial" w:cs="Arial" w:eastAsia="Arial" w:hAnsi="Arial"/>
      <w:b w:val="1"/>
      <w:bCs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V7VjntIni+R5badEHper0YzUEQ==">CgMxLjAyCGguZ2pkZ3hzOAByITFzQTdqY3l4eHRCOEtlWXhaODJHMDZST3F5LXN6Q2JadQ==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