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39177" w14:textId="77777777" w:rsidR="00B54C0B" w:rsidRDefault="00B54C0B">
      <w:pPr>
        <w:pStyle w:val="Ttulo2"/>
        <w:jc w:val="center"/>
        <w:rPr>
          <w:rFonts w:ascii="Calibri" w:eastAsia="Calibri" w:hAnsi="Calibri" w:cs="Calibri"/>
          <w:sz w:val="22"/>
          <w:szCs w:val="22"/>
        </w:rPr>
      </w:pPr>
    </w:p>
    <w:p w14:paraId="28206D14" w14:textId="77777777" w:rsidR="00B54C0B" w:rsidRDefault="00B54C0B">
      <w:pPr>
        <w:jc w:val="center"/>
        <w:rPr>
          <w:b/>
          <w:bCs/>
          <w:sz w:val="24"/>
          <w:szCs w:val="24"/>
        </w:rPr>
      </w:pPr>
    </w:p>
    <w:p w14:paraId="7F057300" w14:textId="77777777" w:rsidR="00B54C0B" w:rsidRDefault="00B54C0B">
      <w:pPr>
        <w:jc w:val="center"/>
        <w:rPr>
          <w:b/>
          <w:bCs/>
          <w:sz w:val="24"/>
          <w:szCs w:val="24"/>
        </w:rPr>
      </w:pPr>
    </w:p>
    <w:p w14:paraId="0F19C5EF" w14:textId="77777777" w:rsidR="00B54C0B" w:rsidRDefault="00B54C0B">
      <w:pPr>
        <w:jc w:val="center"/>
        <w:rPr>
          <w:b/>
          <w:bCs/>
          <w:sz w:val="24"/>
          <w:szCs w:val="24"/>
        </w:rPr>
      </w:pPr>
    </w:p>
    <w:p w14:paraId="6ACB09E9" w14:textId="77777777" w:rsidR="00B54C0B" w:rsidRDefault="00B54C0B">
      <w:pPr>
        <w:jc w:val="center"/>
        <w:rPr>
          <w:b/>
          <w:bCs/>
          <w:sz w:val="24"/>
          <w:szCs w:val="24"/>
        </w:rPr>
      </w:pPr>
    </w:p>
    <w:p w14:paraId="0A48104E" w14:textId="53C1E070" w:rsidR="00B54C0B" w:rsidRPr="00E27F6B" w:rsidRDefault="00E27F6B">
      <w:pPr>
        <w:jc w:val="center"/>
        <w:rPr>
          <w:b/>
          <w:bCs/>
          <w:color w:val="007BB8"/>
        </w:rPr>
      </w:pPr>
      <w:r w:rsidRPr="00E27F6B">
        <w:rPr>
          <w:b/>
          <w:bCs/>
          <w:color w:val="007BB8"/>
        </w:rPr>
        <w:t>METAS E INDICADORES DE GESTIÓN 2025</w:t>
      </w:r>
    </w:p>
    <w:p w14:paraId="09A6401B" w14:textId="77777777" w:rsidR="00B54C0B" w:rsidRPr="00E27F6B" w:rsidRDefault="00B54C0B">
      <w:pPr>
        <w:jc w:val="center"/>
        <w:rPr>
          <w:b/>
          <w:bCs/>
          <w:color w:val="007BB8"/>
        </w:rPr>
      </w:pPr>
    </w:p>
    <w:p w14:paraId="49F5EF06" w14:textId="77777777" w:rsidR="00B54C0B" w:rsidRPr="00E27F6B" w:rsidRDefault="00B54C0B">
      <w:pPr>
        <w:jc w:val="center"/>
        <w:rPr>
          <w:b/>
          <w:bCs/>
          <w:color w:val="007BB8"/>
        </w:rPr>
      </w:pPr>
    </w:p>
    <w:p w14:paraId="7ADFA140" w14:textId="77777777" w:rsidR="00B54C0B" w:rsidRDefault="00B54C0B">
      <w:pPr>
        <w:jc w:val="center"/>
        <w:rPr>
          <w:b/>
          <w:bCs/>
          <w:color w:val="007BB8"/>
        </w:rPr>
      </w:pPr>
    </w:p>
    <w:p w14:paraId="2ED97A57" w14:textId="77777777" w:rsidR="00E27F6B" w:rsidRPr="00E27F6B" w:rsidRDefault="00E27F6B">
      <w:pPr>
        <w:jc w:val="center"/>
        <w:rPr>
          <w:b/>
          <w:bCs/>
          <w:color w:val="007BB8"/>
        </w:rPr>
      </w:pPr>
    </w:p>
    <w:p w14:paraId="703A1FEA" w14:textId="77777777" w:rsidR="00B54C0B" w:rsidRPr="00E27F6B" w:rsidRDefault="00B54C0B">
      <w:pPr>
        <w:jc w:val="center"/>
        <w:rPr>
          <w:b/>
          <w:bCs/>
          <w:color w:val="007BB8"/>
        </w:rPr>
      </w:pPr>
    </w:p>
    <w:p w14:paraId="00E74408" w14:textId="77777777" w:rsidR="00B54C0B" w:rsidRPr="00E27F6B" w:rsidRDefault="00B54C0B">
      <w:pPr>
        <w:jc w:val="center"/>
        <w:rPr>
          <w:b/>
          <w:bCs/>
          <w:color w:val="007BB8"/>
        </w:rPr>
      </w:pPr>
    </w:p>
    <w:p w14:paraId="0F202D80" w14:textId="77777777" w:rsidR="00B54C0B" w:rsidRDefault="00B54C0B">
      <w:pPr>
        <w:jc w:val="center"/>
        <w:rPr>
          <w:b/>
          <w:bCs/>
          <w:color w:val="007BB8"/>
        </w:rPr>
      </w:pPr>
    </w:p>
    <w:p w14:paraId="01260FAB" w14:textId="77777777" w:rsidR="00B54C0B" w:rsidRPr="00E27F6B" w:rsidRDefault="00000000">
      <w:pPr>
        <w:jc w:val="center"/>
        <w:rPr>
          <w:b/>
          <w:bCs/>
          <w:color w:val="007BB8"/>
        </w:rPr>
      </w:pPr>
      <w:r w:rsidRPr="00E27F6B">
        <w:rPr>
          <w:b/>
          <w:bCs/>
          <w:color w:val="007BB8"/>
        </w:rPr>
        <w:t>SECRETARÍA DISTRITAL DE MOVILIDAD</w:t>
      </w:r>
    </w:p>
    <w:p w14:paraId="2C33B9C9" w14:textId="77777777" w:rsidR="00B54C0B" w:rsidRDefault="00B54C0B">
      <w:pPr>
        <w:jc w:val="center"/>
        <w:rPr>
          <w:b/>
          <w:bCs/>
          <w:color w:val="007BB8"/>
        </w:rPr>
      </w:pPr>
    </w:p>
    <w:p w14:paraId="6EC6447D" w14:textId="77777777" w:rsidR="00E27F6B" w:rsidRDefault="00E27F6B">
      <w:pPr>
        <w:jc w:val="center"/>
        <w:rPr>
          <w:b/>
          <w:bCs/>
          <w:color w:val="007BB8"/>
        </w:rPr>
      </w:pPr>
    </w:p>
    <w:p w14:paraId="404437AE" w14:textId="77777777" w:rsidR="00E27F6B" w:rsidRDefault="00E27F6B">
      <w:pPr>
        <w:jc w:val="center"/>
        <w:rPr>
          <w:b/>
          <w:bCs/>
          <w:color w:val="007BB8"/>
        </w:rPr>
      </w:pPr>
    </w:p>
    <w:p w14:paraId="1AD8A8E8" w14:textId="77777777" w:rsidR="00E27F6B" w:rsidRDefault="00E27F6B">
      <w:pPr>
        <w:jc w:val="center"/>
        <w:rPr>
          <w:b/>
          <w:bCs/>
          <w:color w:val="007BB8"/>
        </w:rPr>
      </w:pPr>
    </w:p>
    <w:p w14:paraId="67B76154" w14:textId="77777777" w:rsidR="00E27F6B" w:rsidRDefault="00E27F6B">
      <w:pPr>
        <w:jc w:val="center"/>
        <w:rPr>
          <w:b/>
          <w:bCs/>
          <w:color w:val="007BB8"/>
        </w:rPr>
      </w:pPr>
    </w:p>
    <w:p w14:paraId="6B736383" w14:textId="77777777" w:rsidR="00E27F6B" w:rsidRDefault="00E27F6B">
      <w:pPr>
        <w:jc w:val="center"/>
        <w:rPr>
          <w:b/>
          <w:bCs/>
          <w:color w:val="007BB8"/>
        </w:rPr>
      </w:pPr>
    </w:p>
    <w:p w14:paraId="35BE81F0" w14:textId="77777777" w:rsidR="00E27F6B" w:rsidRDefault="00E27F6B">
      <w:pPr>
        <w:jc w:val="center"/>
        <w:rPr>
          <w:b/>
          <w:bCs/>
          <w:color w:val="007BB8"/>
        </w:rPr>
      </w:pPr>
    </w:p>
    <w:p w14:paraId="4DE89F05" w14:textId="77777777" w:rsidR="00E27F6B" w:rsidRPr="00E27F6B" w:rsidRDefault="00E27F6B">
      <w:pPr>
        <w:jc w:val="center"/>
        <w:rPr>
          <w:b/>
          <w:bCs/>
          <w:color w:val="007BB8"/>
        </w:rPr>
      </w:pPr>
    </w:p>
    <w:p w14:paraId="576B235E" w14:textId="77777777" w:rsidR="00B54C0B" w:rsidRPr="00E27F6B" w:rsidRDefault="00000000">
      <w:pPr>
        <w:jc w:val="center"/>
        <w:rPr>
          <w:b/>
          <w:bCs/>
          <w:color w:val="007BB8"/>
        </w:rPr>
      </w:pPr>
      <w:r w:rsidRPr="00E27F6B">
        <w:rPr>
          <w:b/>
          <w:bCs/>
          <w:color w:val="007BB8"/>
        </w:rPr>
        <w:t>01 de enero – 31 de diciembre de 2025</w:t>
      </w:r>
    </w:p>
    <w:p w14:paraId="4438C033" w14:textId="77777777" w:rsidR="00B54C0B" w:rsidRDefault="00B54C0B">
      <w:pPr>
        <w:jc w:val="center"/>
        <w:rPr>
          <w:b/>
          <w:bCs/>
        </w:rPr>
      </w:pPr>
    </w:p>
    <w:p w14:paraId="50324E07" w14:textId="77777777" w:rsidR="00B54C0B" w:rsidRDefault="00B54C0B">
      <w:pPr>
        <w:jc w:val="center"/>
        <w:rPr>
          <w:b/>
          <w:bCs/>
        </w:rPr>
      </w:pPr>
    </w:p>
    <w:p w14:paraId="34E832CB" w14:textId="77777777" w:rsidR="00B54C0B" w:rsidRDefault="00B54C0B">
      <w:pPr>
        <w:jc w:val="center"/>
      </w:pPr>
    </w:p>
    <w:p w14:paraId="4AF15DD4" w14:textId="77777777" w:rsidR="00B54C0B" w:rsidRDefault="00B54C0B">
      <w:pPr>
        <w:spacing w:before="240" w:after="0" w:line="276" w:lineRule="auto"/>
        <w:jc w:val="both"/>
      </w:pPr>
    </w:p>
    <w:p w14:paraId="28A95DD1" w14:textId="77777777" w:rsidR="00B54C0B" w:rsidRDefault="00B54C0B">
      <w:pPr>
        <w:spacing w:before="240" w:after="0" w:line="276" w:lineRule="auto"/>
        <w:jc w:val="center"/>
        <w:rPr>
          <w:b/>
          <w:bCs/>
        </w:rPr>
      </w:pPr>
    </w:p>
    <w:p w14:paraId="0480DF90" w14:textId="77777777" w:rsidR="00B54C0B" w:rsidRDefault="00B54C0B">
      <w:pPr>
        <w:spacing w:before="240" w:after="0" w:line="276" w:lineRule="auto"/>
        <w:jc w:val="center"/>
        <w:rPr>
          <w:b/>
          <w:bCs/>
        </w:rPr>
      </w:pPr>
    </w:p>
    <w:p w14:paraId="5F0D5979" w14:textId="77777777" w:rsidR="00B54C0B" w:rsidRPr="00E27F6B" w:rsidRDefault="00000000">
      <w:pPr>
        <w:spacing w:before="240" w:after="0" w:line="276" w:lineRule="auto"/>
        <w:jc w:val="center"/>
        <w:rPr>
          <w:b/>
          <w:bCs/>
          <w:color w:val="007BB8"/>
        </w:rPr>
      </w:pPr>
      <w:r w:rsidRPr="00E27F6B">
        <w:rPr>
          <w:b/>
          <w:bCs/>
          <w:color w:val="007BB8"/>
        </w:rPr>
        <w:t>INTRODUCCIÓN</w:t>
      </w:r>
    </w:p>
    <w:p w14:paraId="2D2DC3AD" w14:textId="7C4B7629" w:rsidR="00B54C0B" w:rsidRDefault="00000000">
      <w:pPr>
        <w:spacing w:before="240" w:after="0" w:line="276" w:lineRule="auto"/>
        <w:jc w:val="both"/>
      </w:pPr>
      <w:r>
        <w:t xml:space="preserve">En el presente informe se expone el estado de avance de cada una de las metas </w:t>
      </w:r>
      <w:r w:rsidR="00E27F6B">
        <w:t xml:space="preserve">producto </w:t>
      </w:r>
      <w:r>
        <w:t xml:space="preserve">del Plan Distrital de Desarrollo </w:t>
      </w:r>
      <w:r w:rsidR="00E27F6B">
        <w:t>2024–2027 “Bogotá Camina Segura” de</w:t>
      </w:r>
      <w:r>
        <w:t xml:space="preserve"> la Secretaría Distrital de Movilidad, evidenciando los resultados obtenidos, los principales logros </w:t>
      </w:r>
      <w:r w:rsidR="00E27F6B">
        <w:t>alcanzados.</w:t>
      </w:r>
      <w:r w:rsidR="00B00F72">
        <w:t xml:space="preserve"> </w:t>
      </w:r>
      <w:r w:rsidR="0015574E">
        <w:t xml:space="preserve">Frente a los indicadore de gestión, el avance se encuentra en el Informe Consolidado de Indicadores de Gestión publicado en el siguiente link </w:t>
      </w:r>
      <w:hyperlink r:id="rId8" w:history="1">
        <w:r w:rsidR="0015574E" w:rsidRPr="007B05A6">
          <w:rPr>
            <w:rStyle w:val="Hipervnculo"/>
          </w:rPr>
          <w:t>https://www.movilidadbogota.gov.co/planes-de-accion-anual</w:t>
        </w:r>
      </w:hyperlink>
    </w:p>
    <w:p w14:paraId="6C031CFD" w14:textId="77777777" w:rsidR="0015574E" w:rsidRDefault="0015574E">
      <w:pPr>
        <w:spacing w:before="240" w:after="0" w:line="276" w:lineRule="auto"/>
        <w:jc w:val="both"/>
      </w:pPr>
    </w:p>
    <w:p w14:paraId="4FB8943F" w14:textId="77777777" w:rsidR="00B54C0B" w:rsidRDefault="00B54C0B">
      <w:pPr>
        <w:spacing w:before="240" w:after="0" w:line="276" w:lineRule="auto"/>
        <w:jc w:val="both"/>
      </w:pPr>
    </w:p>
    <w:p w14:paraId="771C0AE7" w14:textId="77777777" w:rsidR="00B54C0B" w:rsidRDefault="00000000">
      <w:pPr>
        <w:spacing w:before="240" w:after="0" w:line="276" w:lineRule="auto"/>
        <w:jc w:val="both"/>
        <w:sectPr w:rsidR="00B54C0B">
          <w:headerReference w:type="default" r:id="rId9"/>
          <w:footerReference w:type="default" r:id="rId10"/>
          <w:headerReference w:type="first" r:id="rId11"/>
          <w:footerReference w:type="first" r:id="rId12"/>
          <w:pgSz w:w="11909" w:h="16834"/>
          <w:pgMar w:top="1559" w:right="1701" w:bottom="1843" w:left="1701" w:header="709" w:footer="1327" w:gutter="0"/>
          <w:pgNumType w:start="1"/>
          <w:cols w:space="720"/>
          <w:titlePg/>
        </w:sectPr>
      </w:pPr>
      <w:r>
        <w:t xml:space="preserve">  </w:t>
      </w:r>
    </w:p>
    <w:p w14:paraId="107F2B2D" w14:textId="60F29979" w:rsidR="00B54C0B" w:rsidRDefault="00E27F6B" w:rsidP="00E27F6B">
      <w:pPr>
        <w:pBdr>
          <w:top w:val="nil"/>
          <w:left w:val="nil"/>
          <w:bottom w:val="nil"/>
          <w:right w:val="nil"/>
          <w:between w:val="nil"/>
        </w:pBdr>
        <w:spacing w:after="0"/>
        <w:rPr>
          <w:b/>
          <w:bCs/>
        </w:rPr>
      </w:pPr>
      <w:r w:rsidRPr="00E27F6B">
        <w:rPr>
          <w:b/>
          <w:bCs/>
        </w:rPr>
        <w:lastRenderedPageBreak/>
        <w:t>AVANCES Y</w:t>
      </w:r>
      <w:r w:rsidR="0015574E">
        <w:rPr>
          <w:b/>
          <w:bCs/>
        </w:rPr>
        <w:t xml:space="preserve"> </w:t>
      </w:r>
      <w:r w:rsidRPr="00E27F6B">
        <w:rPr>
          <w:b/>
          <w:bCs/>
        </w:rPr>
        <w:t xml:space="preserve">LOGROS METAS </w:t>
      </w:r>
      <w:r>
        <w:rPr>
          <w:b/>
          <w:bCs/>
        </w:rPr>
        <w:t>PRODUCTO DEL</w:t>
      </w:r>
      <w:r w:rsidRPr="00E27F6B">
        <w:rPr>
          <w:b/>
          <w:bCs/>
        </w:rPr>
        <w:t xml:space="preserve"> PLAN </w:t>
      </w:r>
      <w:r>
        <w:rPr>
          <w:b/>
          <w:bCs/>
        </w:rPr>
        <w:t xml:space="preserve">DISTRITAL </w:t>
      </w:r>
      <w:r w:rsidRPr="00E27F6B">
        <w:rPr>
          <w:b/>
          <w:bCs/>
        </w:rPr>
        <w:t xml:space="preserve">DE </w:t>
      </w:r>
      <w:r w:rsidR="00B00F72" w:rsidRPr="00E27F6B">
        <w:rPr>
          <w:b/>
          <w:bCs/>
        </w:rPr>
        <w:t>DESARROLLO “</w:t>
      </w:r>
      <w:r w:rsidRPr="00E27F6B">
        <w:rPr>
          <w:b/>
          <w:bCs/>
        </w:rPr>
        <w:t>BOGOTÁ CAMINA SEGURA</w:t>
      </w:r>
      <w:r>
        <w:rPr>
          <w:b/>
          <w:bCs/>
        </w:rPr>
        <w:t>”.</w:t>
      </w:r>
    </w:p>
    <w:p w14:paraId="4CDAD9D7" w14:textId="77777777" w:rsidR="00E27F6B" w:rsidRPr="00E27F6B" w:rsidRDefault="00E27F6B" w:rsidP="00E27F6B">
      <w:pPr>
        <w:pBdr>
          <w:top w:val="nil"/>
          <w:left w:val="nil"/>
          <w:bottom w:val="nil"/>
          <w:right w:val="nil"/>
          <w:between w:val="nil"/>
        </w:pBdr>
        <w:spacing w:after="0"/>
        <w:ind w:left="720"/>
        <w:rPr>
          <w:b/>
          <w:bCs/>
        </w:rPr>
      </w:pPr>
    </w:p>
    <w:p w14:paraId="706CBAD3" w14:textId="5FD2B85D" w:rsidR="00B54C0B" w:rsidRDefault="00000000" w:rsidP="00E27F6B">
      <w:pPr>
        <w:rPr>
          <w:b/>
          <w:bCs/>
        </w:rPr>
      </w:pPr>
      <w:r>
        <w:rPr>
          <w:b/>
          <w:bCs/>
          <w:u w:val="single"/>
        </w:rPr>
        <w:t>SUBSECRETARÍA DE POLÍTICA DE MOVILIDAD</w:t>
      </w:r>
    </w:p>
    <w:tbl>
      <w:tblPr>
        <w:tblStyle w:val="afffffff4"/>
        <w:tblpPr w:leftFromText="141" w:rightFromText="141" w:vertAnchor="text" w:tblpY="1"/>
        <w:tblW w:w="1343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1500"/>
        <w:gridCol w:w="1245"/>
        <w:gridCol w:w="1530"/>
        <w:gridCol w:w="6591"/>
      </w:tblGrid>
      <w:tr w:rsidR="00B54C0B" w14:paraId="0061CB06" w14:textId="77777777">
        <w:trPr>
          <w:trHeight w:val="420"/>
          <w:tblHeader/>
        </w:trPr>
        <w:tc>
          <w:tcPr>
            <w:tcW w:w="13431" w:type="dxa"/>
            <w:gridSpan w:val="5"/>
            <w:shd w:val="clear" w:color="auto" w:fill="2E74B5"/>
            <w:tcMar>
              <w:top w:w="100" w:type="dxa"/>
              <w:left w:w="100" w:type="dxa"/>
              <w:bottom w:w="100" w:type="dxa"/>
              <w:right w:w="100" w:type="dxa"/>
            </w:tcMar>
          </w:tcPr>
          <w:p w14:paraId="3FC6EF12" w14:textId="77777777" w:rsidR="00B54C0B" w:rsidRDefault="00000000">
            <w:pPr>
              <w:widowControl w:val="0"/>
              <w:spacing w:before="40" w:after="0" w:line="240" w:lineRule="auto"/>
              <w:jc w:val="center"/>
              <w:rPr>
                <w:b/>
                <w:bCs/>
                <w:color w:val="FFFFFF"/>
              </w:rPr>
            </w:pPr>
            <w:r>
              <w:rPr>
                <w:b/>
                <w:bCs/>
                <w:color w:val="FFFFFF"/>
              </w:rPr>
              <w:t>Objetivo Estratégico -1- Bogotá avanza en su seguridad</w:t>
            </w:r>
          </w:p>
          <w:p w14:paraId="4DCE4FDE" w14:textId="77777777" w:rsidR="00B54C0B" w:rsidRDefault="00000000">
            <w:pPr>
              <w:widowControl w:val="0"/>
              <w:spacing w:before="40" w:after="0" w:line="240" w:lineRule="auto"/>
              <w:jc w:val="center"/>
              <w:rPr>
                <w:color w:val="FFFFFF"/>
                <w:sz w:val="20"/>
                <w:szCs w:val="20"/>
              </w:rPr>
            </w:pPr>
            <w:r>
              <w:rPr>
                <w:color w:val="FFFFFF"/>
              </w:rPr>
              <w:t xml:space="preserve">PROGRAMA 6: </w:t>
            </w:r>
            <w:r>
              <w:rPr>
                <w:color w:val="FFFFFF"/>
                <w:sz w:val="20"/>
                <w:szCs w:val="20"/>
              </w:rPr>
              <w:t>Bogotá avanza en Seguridad</w:t>
            </w:r>
          </w:p>
          <w:p w14:paraId="7EDAD8AD" w14:textId="77777777" w:rsidR="00B54C0B" w:rsidRDefault="00000000">
            <w:pPr>
              <w:widowControl w:val="0"/>
              <w:spacing w:after="0" w:line="240" w:lineRule="auto"/>
              <w:jc w:val="both"/>
              <w:rPr>
                <w:color w:val="FFFFFF"/>
                <w:sz w:val="20"/>
                <w:szCs w:val="20"/>
              </w:rPr>
            </w:pPr>
            <w:r>
              <w:rPr>
                <w:color w:val="FFFFFF"/>
                <w:sz w:val="20"/>
                <w:szCs w:val="20"/>
              </w:rPr>
              <w:t>7980. Implementación de intervenciones integrales de cultura, comunicación y pedagogía, para la movilidad segura en Bogotá D.C</w:t>
            </w:r>
          </w:p>
          <w:p w14:paraId="2CB76DAB" w14:textId="77777777" w:rsidR="00B54C0B" w:rsidRDefault="00000000">
            <w:pPr>
              <w:widowControl w:val="0"/>
              <w:spacing w:after="0" w:line="240" w:lineRule="auto"/>
              <w:jc w:val="both"/>
              <w:rPr>
                <w:color w:val="FFFFFF"/>
                <w:sz w:val="20"/>
                <w:szCs w:val="20"/>
              </w:rPr>
            </w:pPr>
            <w:r>
              <w:rPr>
                <w:color w:val="FFFFFF"/>
                <w:sz w:val="20"/>
                <w:szCs w:val="20"/>
              </w:rPr>
              <w:t>7941. Fortalecimiento del componente de gobernanza para la implementación de la estrategia de seguridad vial en Bogotá D.C.</w:t>
            </w:r>
          </w:p>
          <w:p w14:paraId="13F706AD" w14:textId="77777777" w:rsidR="00B54C0B" w:rsidRDefault="00000000">
            <w:pPr>
              <w:widowControl w:val="0"/>
              <w:spacing w:after="0" w:line="240" w:lineRule="auto"/>
              <w:jc w:val="both"/>
              <w:rPr>
                <w:color w:val="FFFFFF"/>
                <w:sz w:val="20"/>
                <w:szCs w:val="20"/>
              </w:rPr>
            </w:pPr>
            <w:r>
              <w:rPr>
                <w:color w:val="FFFFFF"/>
                <w:sz w:val="20"/>
                <w:szCs w:val="20"/>
              </w:rPr>
              <w:t>7996. Fortalecimiento del programa niñas y niños primero para mejorar la seguridad vial y la confianza en el camino al colegio en Bogotá D.C.</w:t>
            </w:r>
          </w:p>
          <w:p w14:paraId="06C7CE41" w14:textId="77777777" w:rsidR="00B54C0B" w:rsidRDefault="00000000">
            <w:pPr>
              <w:widowControl w:val="0"/>
              <w:spacing w:after="0" w:line="240" w:lineRule="auto"/>
              <w:jc w:val="both"/>
              <w:rPr>
                <w:color w:val="FFFFFF"/>
                <w:sz w:val="20"/>
                <w:szCs w:val="20"/>
              </w:rPr>
            </w:pPr>
            <w:r>
              <w:rPr>
                <w:color w:val="FFFFFF"/>
                <w:sz w:val="20"/>
                <w:szCs w:val="20"/>
              </w:rPr>
              <w:t>8000. Fortalecimiento del sistema de señalización para la movilidad enfocada en la mejora de la seguridad vial en la ciudad de Bogotá D.C</w:t>
            </w:r>
          </w:p>
          <w:p w14:paraId="3A4037F4" w14:textId="77777777" w:rsidR="00B54C0B" w:rsidRDefault="00000000">
            <w:pPr>
              <w:widowControl w:val="0"/>
              <w:spacing w:after="0" w:line="240" w:lineRule="auto"/>
              <w:jc w:val="both"/>
              <w:rPr>
                <w:color w:val="FFFFFF"/>
                <w:sz w:val="20"/>
                <w:szCs w:val="20"/>
              </w:rPr>
            </w:pPr>
            <w:r>
              <w:rPr>
                <w:color w:val="FFFFFF"/>
                <w:sz w:val="20"/>
                <w:szCs w:val="20"/>
              </w:rPr>
              <w:t>8001. Consolidación de las intervenciones en el espacio público para el mejoramiento de las condiciones de movilidad y seguridad vial en los corredores y puntos estratégicos en Bogotá D.C.</w:t>
            </w:r>
          </w:p>
          <w:p w14:paraId="4CAF6927" w14:textId="77777777" w:rsidR="00B54C0B" w:rsidRDefault="00000000">
            <w:pPr>
              <w:widowControl w:val="0"/>
              <w:spacing w:after="0" w:line="240" w:lineRule="auto"/>
              <w:jc w:val="both"/>
              <w:rPr>
                <w:color w:val="FFFFFF"/>
                <w:sz w:val="20"/>
                <w:szCs w:val="20"/>
              </w:rPr>
            </w:pPr>
            <w:r>
              <w:rPr>
                <w:color w:val="FFFFFF"/>
                <w:sz w:val="20"/>
                <w:szCs w:val="20"/>
              </w:rPr>
              <w:t>8009. Fortalecimiento de las intervenciones de control y prevención del tránsito y el transporte para mejorar la seguridad vial en Bogotá D.C.</w:t>
            </w:r>
          </w:p>
        </w:tc>
      </w:tr>
      <w:tr w:rsidR="00B54C0B" w14:paraId="49513B11" w14:textId="77777777">
        <w:trPr>
          <w:trHeight w:val="420"/>
        </w:trPr>
        <w:tc>
          <w:tcPr>
            <w:tcW w:w="2565" w:type="dxa"/>
            <w:shd w:val="clear" w:color="auto" w:fill="DBE5F1"/>
            <w:tcMar>
              <w:top w:w="100" w:type="dxa"/>
              <w:left w:w="100" w:type="dxa"/>
              <w:bottom w:w="100" w:type="dxa"/>
              <w:right w:w="100" w:type="dxa"/>
            </w:tcMar>
          </w:tcPr>
          <w:p w14:paraId="42B64E17" w14:textId="77777777" w:rsidR="00B54C0B" w:rsidRDefault="00000000">
            <w:pPr>
              <w:widowControl w:val="0"/>
              <w:spacing w:after="0" w:line="240" w:lineRule="auto"/>
              <w:jc w:val="center"/>
              <w:rPr>
                <w:b/>
                <w:bCs/>
              </w:rPr>
            </w:pPr>
            <w:r>
              <w:rPr>
                <w:b/>
                <w:bCs/>
              </w:rPr>
              <w:t>Meta</w:t>
            </w:r>
          </w:p>
        </w:tc>
        <w:tc>
          <w:tcPr>
            <w:tcW w:w="1500" w:type="dxa"/>
            <w:shd w:val="clear" w:color="auto" w:fill="DBE5F1"/>
            <w:tcMar>
              <w:top w:w="100" w:type="dxa"/>
              <w:left w:w="100" w:type="dxa"/>
              <w:bottom w:w="100" w:type="dxa"/>
              <w:right w:w="100" w:type="dxa"/>
            </w:tcMar>
          </w:tcPr>
          <w:p w14:paraId="66DEA8F0" w14:textId="77777777" w:rsidR="00B54C0B" w:rsidRDefault="00000000">
            <w:pPr>
              <w:widowControl w:val="0"/>
              <w:spacing w:after="0" w:line="240" w:lineRule="auto"/>
              <w:jc w:val="center"/>
              <w:rPr>
                <w:b/>
                <w:bCs/>
              </w:rPr>
            </w:pPr>
            <w:r>
              <w:rPr>
                <w:b/>
                <w:bCs/>
              </w:rPr>
              <w:t>Magnitud</w:t>
            </w:r>
          </w:p>
          <w:p w14:paraId="0703EC96" w14:textId="77777777" w:rsidR="00B54C0B" w:rsidRDefault="00000000">
            <w:pPr>
              <w:widowControl w:val="0"/>
              <w:spacing w:after="0" w:line="240" w:lineRule="auto"/>
              <w:jc w:val="center"/>
              <w:rPr>
                <w:b/>
                <w:bCs/>
              </w:rPr>
            </w:pPr>
            <w:r>
              <w:rPr>
                <w:b/>
                <w:bCs/>
              </w:rPr>
              <w:t>Programada</w:t>
            </w:r>
          </w:p>
        </w:tc>
        <w:tc>
          <w:tcPr>
            <w:tcW w:w="1245" w:type="dxa"/>
            <w:shd w:val="clear" w:color="auto" w:fill="DBE5F1"/>
            <w:tcMar>
              <w:top w:w="100" w:type="dxa"/>
              <w:left w:w="100" w:type="dxa"/>
              <w:bottom w:w="100" w:type="dxa"/>
              <w:right w:w="100" w:type="dxa"/>
            </w:tcMar>
          </w:tcPr>
          <w:p w14:paraId="3C97F176" w14:textId="77777777" w:rsidR="00B54C0B" w:rsidRDefault="00000000">
            <w:pPr>
              <w:widowControl w:val="0"/>
              <w:spacing w:after="0" w:line="240" w:lineRule="auto"/>
              <w:jc w:val="center"/>
              <w:rPr>
                <w:b/>
                <w:bCs/>
              </w:rPr>
            </w:pPr>
            <w:r>
              <w:rPr>
                <w:b/>
                <w:bCs/>
              </w:rPr>
              <w:t xml:space="preserve">Magnitud </w:t>
            </w:r>
          </w:p>
          <w:p w14:paraId="2C1713D6" w14:textId="77777777" w:rsidR="00B54C0B" w:rsidRDefault="00000000">
            <w:pPr>
              <w:widowControl w:val="0"/>
              <w:spacing w:after="0" w:line="240" w:lineRule="auto"/>
              <w:jc w:val="center"/>
              <w:rPr>
                <w:b/>
                <w:bCs/>
              </w:rPr>
            </w:pPr>
            <w:r>
              <w:rPr>
                <w:b/>
                <w:bCs/>
              </w:rPr>
              <w:t>Ejecutada</w:t>
            </w:r>
          </w:p>
        </w:tc>
        <w:tc>
          <w:tcPr>
            <w:tcW w:w="1530" w:type="dxa"/>
            <w:shd w:val="clear" w:color="auto" w:fill="DBE5F1"/>
            <w:tcMar>
              <w:top w:w="100" w:type="dxa"/>
              <w:left w:w="100" w:type="dxa"/>
              <w:bottom w:w="100" w:type="dxa"/>
              <w:right w:w="100" w:type="dxa"/>
            </w:tcMar>
          </w:tcPr>
          <w:p w14:paraId="0C60B5AA" w14:textId="77777777" w:rsidR="00B54C0B" w:rsidRDefault="00000000">
            <w:pPr>
              <w:widowControl w:val="0"/>
              <w:spacing w:after="0" w:line="240" w:lineRule="auto"/>
              <w:jc w:val="center"/>
              <w:rPr>
                <w:b/>
                <w:bCs/>
              </w:rPr>
            </w:pPr>
            <w:r>
              <w:rPr>
                <w:b/>
                <w:bCs/>
              </w:rPr>
              <w:t>% de Cumplimiento</w:t>
            </w:r>
          </w:p>
        </w:tc>
        <w:tc>
          <w:tcPr>
            <w:tcW w:w="6591" w:type="dxa"/>
            <w:shd w:val="clear" w:color="auto" w:fill="DBE5F1"/>
            <w:tcMar>
              <w:top w:w="100" w:type="dxa"/>
              <w:left w:w="100" w:type="dxa"/>
              <w:bottom w:w="100" w:type="dxa"/>
              <w:right w:w="100" w:type="dxa"/>
            </w:tcMar>
          </w:tcPr>
          <w:p w14:paraId="7525E1B8" w14:textId="77777777" w:rsidR="00B54C0B" w:rsidRDefault="00000000">
            <w:pPr>
              <w:widowControl w:val="0"/>
              <w:spacing w:after="0" w:line="240" w:lineRule="auto"/>
              <w:jc w:val="center"/>
              <w:rPr>
                <w:b/>
                <w:bCs/>
              </w:rPr>
            </w:pPr>
            <w:r>
              <w:rPr>
                <w:b/>
                <w:bCs/>
              </w:rPr>
              <w:t>Logros, Avances y Dificultades</w:t>
            </w:r>
          </w:p>
        </w:tc>
      </w:tr>
      <w:tr w:rsidR="00B54C0B" w14:paraId="7CCAF683" w14:textId="77777777">
        <w:trPr>
          <w:trHeight w:val="420"/>
        </w:trPr>
        <w:tc>
          <w:tcPr>
            <w:tcW w:w="2565" w:type="dxa"/>
            <w:tcMar>
              <w:top w:w="100" w:type="dxa"/>
              <w:left w:w="100" w:type="dxa"/>
              <w:bottom w:w="100" w:type="dxa"/>
              <w:right w:w="100" w:type="dxa"/>
            </w:tcMar>
          </w:tcPr>
          <w:p w14:paraId="4C53D251" w14:textId="77777777" w:rsidR="00B54C0B" w:rsidRDefault="00000000">
            <w:pPr>
              <w:widowControl w:val="0"/>
              <w:spacing w:after="0" w:line="240" w:lineRule="auto"/>
              <w:rPr>
                <w:sz w:val="18"/>
                <w:szCs w:val="18"/>
              </w:rPr>
            </w:pPr>
            <w:r>
              <w:rPr>
                <w:sz w:val="18"/>
                <w:szCs w:val="18"/>
              </w:rPr>
              <w:t>1976 - Diseñar, implementar y evaluar el 100% del plan sectorial de cultura ciudadana, comunicación y pedagogía cívica que propicien transformaciones voluntarias constructivas y corresponsables en el sistema de movilidad</w:t>
            </w:r>
          </w:p>
        </w:tc>
        <w:tc>
          <w:tcPr>
            <w:tcW w:w="1500" w:type="dxa"/>
            <w:tcMar>
              <w:top w:w="100" w:type="dxa"/>
              <w:left w:w="100" w:type="dxa"/>
              <w:bottom w:w="100" w:type="dxa"/>
              <w:right w:w="100" w:type="dxa"/>
            </w:tcMar>
          </w:tcPr>
          <w:p w14:paraId="46B850C8" w14:textId="77777777" w:rsidR="00B54C0B" w:rsidRDefault="00000000">
            <w:pPr>
              <w:widowControl w:val="0"/>
              <w:spacing w:after="0" w:line="240" w:lineRule="auto"/>
              <w:jc w:val="center"/>
              <w:rPr>
                <w:sz w:val="18"/>
                <w:szCs w:val="18"/>
              </w:rPr>
            </w:pPr>
            <w:r>
              <w:rPr>
                <w:sz w:val="18"/>
                <w:szCs w:val="18"/>
              </w:rPr>
              <w:t>30%</w:t>
            </w:r>
          </w:p>
        </w:tc>
        <w:tc>
          <w:tcPr>
            <w:tcW w:w="1245" w:type="dxa"/>
            <w:tcMar>
              <w:top w:w="100" w:type="dxa"/>
              <w:left w:w="100" w:type="dxa"/>
              <w:bottom w:w="100" w:type="dxa"/>
              <w:right w:w="100" w:type="dxa"/>
            </w:tcMar>
          </w:tcPr>
          <w:p w14:paraId="27FFDCF4" w14:textId="77777777" w:rsidR="00B54C0B" w:rsidRDefault="00000000">
            <w:pPr>
              <w:widowControl w:val="0"/>
              <w:spacing w:after="0" w:line="240" w:lineRule="auto"/>
              <w:jc w:val="center"/>
              <w:rPr>
                <w:sz w:val="18"/>
                <w:szCs w:val="18"/>
              </w:rPr>
            </w:pPr>
            <w:r>
              <w:rPr>
                <w:sz w:val="18"/>
                <w:szCs w:val="18"/>
              </w:rPr>
              <w:t>30%</w:t>
            </w:r>
          </w:p>
        </w:tc>
        <w:tc>
          <w:tcPr>
            <w:tcW w:w="1530" w:type="dxa"/>
            <w:tcMar>
              <w:top w:w="100" w:type="dxa"/>
              <w:left w:w="100" w:type="dxa"/>
              <w:bottom w:w="100" w:type="dxa"/>
              <w:right w:w="100" w:type="dxa"/>
            </w:tcMar>
          </w:tcPr>
          <w:p w14:paraId="1DCC3D62" w14:textId="77777777" w:rsidR="00B54C0B" w:rsidRDefault="00000000">
            <w:pPr>
              <w:widowControl w:val="0"/>
              <w:spacing w:after="0" w:line="240" w:lineRule="auto"/>
              <w:jc w:val="center"/>
              <w:rPr>
                <w:sz w:val="18"/>
                <w:szCs w:val="18"/>
              </w:rPr>
            </w:pPr>
            <w:r>
              <w:rPr>
                <w:sz w:val="18"/>
                <w:szCs w:val="18"/>
              </w:rPr>
              <w:t>100%</w:t>
            </w:r>
          </w:p>
        </w:tc>
        <w:tc>
          <w:tcPr>
            <w:tcW w:w="6591" w:type="dxa"/>
            <w:tcMar>
              <w:top w:w="100" w:type="dxa"/>
              <w:left w:w="100" w:type="dxa"/>
              <w:bottom w:w="100" w:type="dxa"/>
              <w:right w:w="100" w:type="dxa"/>
            </w:tcMar>
          </w:tcPr>
          <w:p w14:paraId="3F5B89AE" w14:textId="77777777" w:rsidR="00B54C0B" w:rsidRDefault="00000000">
            <w:pPr>
              <w:widowControl w:val="0"/>
              <w:spacing w:before="240" w:after="240" w:line="240" w:lineRule="auto"/>
              <w:jc w:val="both"/>
              <w:rPr>
                <w:sz w:val="18"/>
                <w:szCs w:val="18"/>
              </w:rPr>
            </w:pPr>
            <w:r>
              <w:rPr>
                <w:sz w:val="18"/>
                <w:szCs w:val="18"/>
              </w:rPr>
              <w:t>En el marco de la ejecución del Plan de Desarrollo y con corte a la vigencia 2025, desde su inicio se diseñó una matriz de consistencia que articuló los indicadores de producto, gestión, resultado e impacto definidos en el Plan Sectorial, lo que permitió estructurar un sistema integral de seguimiento y evaluación de las acciones de cultura para la movilidad.</w:t>
            </w:r>
          </w:p>
          <w:p w14:paraId="35BDB114" w14:textId="77777777" w:rsidR="00B54C0B" w:rsidRDefault="00000000">
            <w:pPr>
              <w:widowControl w:val="0"/>
              <w:spacing w:before="240" w:after="240" w:line="240" w:lineRule="auto"/>
              <w:jc w:val="both"/>
              <w:rPr>
                <w:sz w:val="18"/>
                <w:szCs w:val="18"/>
              </w:rPr>
            </w:pPr>
            <w:r>
              <w:rPr>
                <w:sz w:val="18"/>
                <w:szCs w:val="18"/>
              </w:rPr>
              <w:t>De manera paralela, se implementaron 4.723 acciones pedagógicas y jornadas de sensibilización, orientadas a promover una movilidad segura, eficiente y sostenible en diferentes escenarios, distribuidas de la siguiente manera: 2.190 acciones pedagógicas en empresas y entidades, 597 en instituciones educativas, 1.056 en vía y 954 acciones de sensibilización relacionadas con la problemática del mal parqueo.</w:t>
            </w:r>
          </w:p>
          <w:p w14:paraId="493F1013" w14:textId="77777777" w:rsidR="00B54C0B" w:rsidRDefault="00000000">
            <w:pPr>
              <w:widowControl w:val="0"/>
              <w:spacing w:before="240" w:after="240" w:line="240" w:lineRule="auto"/>
              <w:jc w:val="both"/>
              <w:rPr>
                <w:sz w:val="18"/>
                <w:szCs w:val="18"/>
              </w:rPr>
            </w:pPr>
            <w:r>
              <w:rPr>
                <w:sz w:val="18"/>
                <w:szCs w:val="18"/>
              </w:rPr>
              <w:lastRenderedPageBreak/>
              <w:t>En el marco del proceso de evaluación, durante la vigencia 2025 se aplicaron 3.673 instrumentos en empresas, entidades e instituciones educativas, así como 2.127 instrumentos en fase pretest y 2.193 en fase postest. Los resultados evidenciaron avances significativos en los aprendizajes adquiridos, destacándose el fortalecimiento de la comprensión de la diferencia conceptual entre siniestro vial y accidente vial. Este reconocimiento permitió que las personas participantes adoptaran una visión más preventiva frente a los siniestros viales, al comprenderlos como eventos evitables mediante la adopción de comportamientos seguros y responsables, y no como hechos fortuitos atribuibles al azar.</w:t>
            </w:r>
          </w:p>
          <w:p w14:paraId="13589181" w14:textId="77777777" w:rsidR="00B54C0B" w:rsidRDefault="00000000">
            <w:pPr>
              <w:widowControl w:val="0"/>
              <w:spacing w:before="240" w:after="240" w:line="240" w:lineRule="auto"/>
              <w:jc w:val="both"/>
              <w:rPr>
                <w:sz w:val="18"/>
                <w:szCs w:val="18"/>
              </w:rPr>
            </w:pPr>
            <w:r>
              <w:rPr>
                <w:sz w:val="18"/>
                <w:szCs w:val="18"/>
              </w:rPr>
              <w:t>Por otra parte, la evaluación de las acciones de sensibilización sobre mal parqueo, desarrolladas durante 2025 y aplicadas en 676 jornadas, evidenció un nivel de efectividad del 54 %, reflejado en la proporción de conductores que atendieron el llamado a movilizar sus vehículos tras las intervenciones pedagógicas.</w:t>
            </w:r>
          </w:p>
          <w:p w14:paraId="47D2CB38" w14:textId="77777777" w:rsidR="00B54C0B" w:rsidRDefault="00000000">
            <w:pPr>
              <w:widowControl w:val="0"/>
              <w:spacing w:before="240" w:after="240" w:line="240" w:lineRule="auto"/>
              <w:jc w:val="both"/>
              <w:rPr>
                <w:sz w:val="18"/>
                <w:szCs w:val="18"/>
              </w:rPr>
            </w:pPr>
            <w:r>
              <w:rPr>
                <w:sz w:val="18"/>
                <w:szCs w:val="18"/>
              </w:rPr>
              <w:t>Finalmente, en lo corrido del Plan de Desarrollo se logró la sensibilización de aproximadamente 303.000 personas en temas de movilidad segura y cultura para la movilidad, contribuyendo de manera significativa al fortalecimiento de comportamientos responsables y a la mejora de la convivencia en el espacio público.</w:t>
            </w:r>
          </w:p>
        </w:tc>
      </w:tr>
      <w:tr w:rsidR="00B54C0B" w14:paraId="20A34E88" w14:textId="77777777">
        <w:trPr>
          <w:trHeight w:val="420"/>
        </w:trPr>
        <w:tc>
          <w:tcPr>
            <w:tcW w:w="2565" w:type="dxa"/>
            <w:tcMar>
              <w:top w:w="100" w:type="dxa"/>
              <w:left w:w="100" w:type="dxa"/>
              <w:bottom w:w="100" w:type="dxa"/>
              <w:right w:w="100" w:type="dxa"/>
            </w:tcMar>
          </w:tcPr>
          <w:p w14:paraId="115FF142" w14:textId="77777777" w:rsidR="00B54C0B" w:rsidRDefault="00000000">
            <w:pPr>
              <w:widowControl w:val="0"/>
              <w:spacing w:after="0" w:line="240" w:lineRule="auto"/>
              <w:jc w:val="both"/>
            </w:pPr>
            <w:r>
              <w:rPr>
                <w:sz w:val="20"/>
                <w:szCs w:val="20"/>
              </w:rPr>
              <w:lastRenderedPageBreak/>
              <w:t>1984. Realizar un (1) estudio técnico en corredores principales, para evaluar los límites de velocidad en la ciudad</w:t>
            </w:r>
          </w:p>
        </w:tc>
        <w:tc>
          <w:tcPr>
            <w:tcW w:w="1500" w:type="dxa"/>
            <w:tcMar>
              <w:top w:w="100" w:type="dxa"/>
              <w:left w:w="100" w:type="dxa"/>
              <w:bottom w:w="100" w:type="dxa"/>
              <w:right w:w="100" w:type="dxa"/>
            </w:tcMar>
          </w:tcPr>
          <w:p w14:paraId="28B73995" w14:textId="77777777" w:rsidR="00B54C0B" w:rsidRDefault="00000000">
            <w:pPr>
              <w:widowControl w:val="0"/>
              <w:spacing w:after="0" w:line="240" w:lineRule="auto"/>
              <w:jc w:val="center"/>
              <w:rPr>
                <w:sz w:val="18"/>
                <w:szCs w:val="18"/>
              </w:rPr>
            </w:pPr>
            <w:r>
              <w:rPr>
                <w:sz w:val="18"/>
                <w:szCs w:val="18"/>
              </w:rPr>
              <w:t>0.8</w:t>
            </w:r>
          </w:p>
        </w:tc>
        <w:tc>
          <w:tcPr>
            <w:tcW w:w="1245" w:type="dxa"/>
            <w:tcMar>
              <w:top w:w="100" w:type="dxa"/>
              <w:left w:w="100" w:type="dxa"/>
              <w:bottom w:w="100" w:type="dxa"/>
              <w:right w:w="100" w:type="dxa"/>
            </w:tcMar>
          </w:tcPr>
          <w:p w14:paraId="1828E358" w14:textId="77777777" w:rsidR="00B54C0B" w:rsidRDefault="00000000">
            <w:pPr>
              <w:widowControl w:val="0"/>
              <w:spacing w:after="0" w:line="240" w:lineRule="auto"/>
              <w:jc w:val="center"/>
              <w:rPr>
                <w:sz w:val="18"/>
                <w:szCs w:val="18"/>
              </w:rPr>
            </w:pPr>
            <w:r>
              <w:rPr>
                <w:sz w:val="18"/>
                <w:szCs w:val="18"/>
              </w:rPr>
              <w:t>0.8</w:t>
            </w:r>
          </w:p>
        </w:tc>
        <w:tc>
          <w:tcPr>
            <w:tcW w:w="1530" w:type="dxa"/>
            <w:tcMar>
              <w:top w:w="100" w:type="dxa"/>
              <w:left w:w="100" w:type="dxa"/>
              <w:bottom w:w="100" w:type="dxa"/>
              <w:right w:w="100" w:type="dxa"/>
            </w:tcMar>
          </w:tcPr>
          <w:p w14:paraId="73A6751E" w14:textId="77777777" w:rsidR="00B54C0B" w:rsidRDefault="00000000">
            <w:pPr>
              <w:widowControl w:val="0"/>
              <w:spacing w:after="0" w:line="240" w:lineRule="auto"/>
              <w:jc w:val="center"/>
              <w:rPr>
                <w:sz w:val="18"/>
                <w:szCs w:val="18"/>
              </w:rPr>
            </w:pPr>
            <w:r>
              <w:rPr>
                <w:sz w:val="18"/>
                <w:szCs w:val="18"/>
              </w:rPr>
              <w:t>100%</w:t>
            </w:r>
          </w:p>
        </w:tc>
        <w:tc>
          <w:tcPr>
            <w:tcW w:w="6591" w:type="dxa"/>
            <w:tcMar>
              <w:top w:w="100" w:type="dxa"/>
              <w:left w:w="100" w:type="dxa"/>
              <w:bottom w:w="100" w:type="dxa"/>
              <w:right w:w="100" w:type="dxa"/>
            </w:tcMar>
          </w:tcPr>
          <w:p w14:paraId="53E7EB0C" w14:textId="77777777" w:rsidR="00B54C0B" w:rsidRDefault="00000000">
            <w:pPr>
              <w:widowControl w:val="0"/>
              <w:spacing w:after="0" w:line="240" w:lineRule="auto"/>
              <w:jc w:val="both"/>
              <w:rPr>
                <w:sz w:val="18"/>
                <w:szCs w:val="18"/>
              </w:rPr>
            </w:pPr>
            <w:r>
              <w:rPr>
                <w:sz w:val="18"/>
                <w:szCs w:val="18"/>
              </w:rPr>
              <w:t xml:space="preserve">De julio de 2024 a diciembre de 2025, se logró un 90% de avance de la meta con las etapas de formulación, desarrollo y finalización, en mayo de 2025, del Documento Técnico de Soporte que compila los resultados del estudio de límites de velocidad para los corredores arteriales de Bogotá y que busca sentar una base técnica que aporte a la reducción de los siniestros viales y a los siniestros por el factor de riesgo exceso de velocidad. Para el estudio se utilizó la “metodología para la definición de límites de velocidad de la Agencia Nacional de Seguridad Vial (ANSV)”, adoptada por la Resolución 20233040025995 de 2023 del Ministerio de Transporte. Durante este proceso, se contó con el apoyo de la Cooperación Bloomberg y WRI para la obtención de insumos y retroalimentación. </w:t>
            </w:r>
          </w:p>
          <w:p w14:paraId="0330FB9D" w14:textId="77777777" w:rsidR="00B54C0B" w:rsidRDefault="00B54C0B">
            <w:pPr>
              <w:widowControl w:val="0"/>
              <w:spacing w:after="0" w:line="240" w:lineRule="auto"/>
              <w:jc w:val="both"/>
              <w:rPr>
                <w:sz w:val="18"/>
                <w:szCs w:val="18"/>
              </w:rPr>
            </w:pPr>
          </w:p>
          <w:p w14:paraId="093157C2" w14:textId="77777777" w:rsidR="00B54C0B" w:rsidRDefault="00000000">
            <w:pPr>
              <w:widowControl w:val="0"/>
              <w:spacing w:after="0" w:line="240" w:lineRule="auto"/>
              <w:jc w:val="both"/>
              <w:rPr>
                <w:sz w:val="18"/>
                <w:szCs w:val="18"/>
              </w:rPr>
            </w:pPr>
            <w:r>
              <w:rPr>
                <w:sz w:val="18"/>
                <w:szCs w:val="18"/>
              </w:rPr>
              <w:t xml:space="preserve">Se desarrolló una estrategia para la difusión, socialización y comunicación del estudio. Se avanzó en su implementación con el desarrollo de una mesa presencial con concejales y expertos en seguridad vial en la que se presentaron los resultados del estudio. Asimismo, se realizó una socialización del estudio al interior de la Secretaría de Movilidad durante el Comité Institucional de Seguridad vial del mes de mayo y se presentaron los hallazgos y resultados del estudio a académicos y profesores expertos en movilidad y seguridad vial en la mesa académica por la movilidad sostenible del mes de julio. La estrategia de comunicación busca socializar e informar a la ciudadanía y partes interesadas sobre los resultados del estudio de límites de velocidad, destacando los beneficios en términos de seguridad vial y calidad de vida. De igual manera, los contenidos y resultados del estudio de límites de velocidad se integraron en el documento resumen y en el Documento Técnico de Soporte sobre la actualización del </w:t>
            </w:r>
            <w:r>
              <w:rPr>
                <w:sz w:val="18"/>
                <w:szCs w:val="18"/>
              </w:rPr>
              <w:lastRenderedPageBreak/>
              <w:t xml:space="preserve">Plan de Gestión de la Velocidad de Bogotá (PGV). </w:t>
            </w:r>
          </w:p>
          <w:p w14:paraId="450056EA" w14:textId="77777777" w:rsidR="00B54C0B" w:rsidRDefault="00B54C0B">
            <w:pPr>
              <w:widowControl w:val="0"/>
              <w:spacing w:after="0" w:line="240" w:lineRule="auto"/>
              <w:jc w:val="both"/>
              <w:rPr>
                <w:sz w:val="18"/>
                <w:szCs w:val="18"/>
              </w:rPr>
            </w:pPr>
          </w:p>
          <w:p w14:paraId="39132AA3" w14:textId="77777777" w:rsidR="00B54C0B" w:rsidRDefault="00000000">
            <w:pPr>
              <w:widowControl w:val="0"/>
              <w:spacing w:after="0" w:line="240" w:lineRule="auto"/>
              <w:jc w:val="both"/>
              <w:rPr>
                <w:sz w:val="18"/>
                <w:szCs w:val="18"/>
              </w:rPr>
            </w:pPr>
            <w:r>
              <w:rPr>
                <w:sz w:val="18"/>
                <w:szCs w:val="18"/>
              </w:rPr>
              <w:t>Adicionalmente, el estudio fue socializado a la Veeduría Distrital mediante oficio OSV 202513015809631 de noviembre 28 de 2025, atendiendo la solicitud de información sobre la implementación del límite máximo de velocidad de 50 km/h en las vías del Distrito Capital y señalando cómo este estudio determinó que el límite de velocidad para los 14 corredores analizados es de 50 km/h.</w:t>
            </w:r>
          </w:p>
          <w:p w14:paraId="2F577F64" w14:textId="77777777" w:rsidR="00B54C0B" w:rsidRDefault="00B54C0B">
            <w:pPr>
              <w:widowControl w:val="0"/>
              <w:spacing w:after="0" w:line="240" w:lineRule="auto"/>
              <w:jc w:val="both"/>
              <w:rPr>
                <w:sz w:val="18"/>
                <w:szCs w:val="18"/>
              </w:rPr>
            </w:pPr>
          </w:p>
          <w:p w14:paraId="4ABEE071" w14:textId="77777777" w:rsidR="00B54C0B" w:rsidRDefault="00000000">
            <w:pPr>
              <w:widowControl w:val="0"/>
              <w:spacing w:after="0" w:line="240" w:lineRule="auto"/>
              <w:jc w:val="both"/>
              <w:rPr>
                <w:sz w:val="18"/>
                <w:szCs w:val="18"/>
              </w:rPr>
            </w:pPr>
            <w:r>
              <w:rPr>
                <w:sz w:val="18"/>
                <w:szCs w:val="18"/>
              </w:rPr>
              <w:t xml:space="preserve">Con el desarrollo de este estudio, Bogotá y la Secretaría de Movilidad cuentan con una base técnica, alineada a normativa nacional y a estándares internacionales, que sustenta los límites de velocidad reglamentarios de la ciudad y que impacta directamente en la protección de la vida de la ciudadanía y en la prevención de los siniestros viales por exceso de velocidad. </w:t>
            </w:r>
          </w:p>
          <w:p w14:paraId="17B522F9" w14:textId="77777777" w:rsidR="00B54C0B" w:rsidRDefault="00B54C0B">
            <w:pPr>
              <w:widowControl w:val="0"/>
              <w:spacing w:after="0" w:line="240" w:lineRule="auto"/>
              <w:jc w:val="both"/>
              <w:rPr>
                <w:sz w:val="18"/>
                <w:szCs w:val="18"/>
              </w:rPr>
            </w:pPr>
          </w:p>
          <w:p w14:paraId="1B0B6EB8" w14:textId="77777777" w:rsidR="00B54C0B" w:rsidRDefault="00000000">
            <w:pPr>
              <w:widowControl w:val="0"/>
              <w:spacing w:after="0" w:line="240" w:lineRule="auto"/>
              <w:jc w:val="both"/>
              <w:rPr>
                <w:sz w:val="18"/>
                <w:szCs w:val="18"/>
              </w:rPr>
            </w:pPr>
            <w:r>
              <w:rPr>
                <w:sz w:val="18"/>
                <w:szCs w:val="18"/>
              </w:rPr>
              <w:t>Asimismo, los resultados del estudio complementan y fortalecen lo identificado a través de los análisis de siniestralidad vial y del potencial de vidas salvadas, que han determinado que al definir el límite de velocidad a 50 km/h en la malla vial arterial se salvan 110 vidas más cada año, en comparación con mantenerlo en 60 km/h.</w:t>
            </w:r>
          </w:p>
        </w:tc>
      </w:tr>
      <w:tr w:rsidR="00B54C0B" w14:paraId="5E5ACAD1" w14:textId="77777777">
        <w:trPr>
          <w:trHeight w:val="420"/>
        </w:trPr>
        <w:tc>
          <w:tcPr>
            <w:tcW w:w="2565" w:type="dxa"/>
            <w:tcMar>
              <w:top w:w="100" w:type="dxa"/>
              <w:left w:w="100" w:type="dxa"/>
              <w:bottom w:w="100" w:type="dxa"/>
              <w:right w:w="100" w:type="dxa"/>
            </w:tcMar>
          </w:tcPr>
          <w:p w14:paraId="34086809" w14:textId="77777777" w:rsidR="00B54C0B" w:rsidRDefault="00000000">
            <w:pPr>
              <w:widowControl w:val="0"/>
              <w:spacing w:after="0" w:line="240" w:lineRule="auto"/>
              <w:jc w:val="both"/>
              <w:rPr>
                <w:sz w:val="20"/>
                <w:szCs w:val="20"/>
              </w:rPr>
            </w:pPr>
            <w:r>
              <w:rPr>
                <w:sz w:val="18"/>
                <w:szCs w:val="18"/>
              </w:rPr>
              <w:lastRenderedPageBreak/>
              <w:t xml:space="preserve">1973. Alcanzar 480.000 estudiantes beneficiadas y beneficiados en el programa de Niñas y Niños Primero – NNP, </w:t>
            </w:r>
            <w:r>
              <w:rPr>
                <w:sz w:val="18"/>
                <w:szCs w:val="18"/>
              </w:rPr>
              <w:lastRenderedPageBreak/>
              <w:t>incluyendo acciones orientadas a mejorar las condiciones de movilidad de las rutas escolares</w:t>
            </w:r>
          </w:p>
        </w:tc>
        <w:tc>
          <w:tcPr>
            <w:tcW w:w="1500" w:type="dxa"/>
            <w:tcMar>
              <w:top w:w="100" w:type="dxa"/>
              <w:left w:w="100" w:type="dxa"/>
              <w:bottom w:w="100" w:type="dxa"/>
              <w:right w:w="100" w:type="dxa"/>
            </w:tcMar>
          </w:tcPr>
          <w:p w14:paraId="418BF6B0" w14:textId="77777777" w:rsidR="00B54C0B" w:rsidRDefault="00000000">
            <w:pPr>
              <w:widowControl w:val="0"/>
              <w:spacing w:after="0" w:line="240" w:lineRule="auto"/>
              <w:jc w:val="center"/>
              <w:rPr>
                <w:sz w:val="18"/>
                <w:szCs w:val="18"/>
              </w:rPr>
            </w:pPr>
            <w:r>
              <w:rPr>
                <w:sz w:val="18"/>
                <w:szCs w:val="18"/>
              </w:rPr>
              <w:lastRenderedPageBreak/>
              <w:t>135.599</w:t>
            </w:r>
          </w:p>
        </w:tc>
        <w:tc>
          <w:tcPr>
            <w:tcW w:w="1245" w:type="dxa"/>
            <w:tcMar>
              <w:top w:w="100" w:type="dxa"/>
              <w:left w:w="100" w:type="dxa"/>
              <w:bottom w:w="100" w:type="dxa"/>
              <w:right w:w="100" w:type="dxa"/>
            </w:tcMar>
          </w:tcPr>
          <w:p w14:paraId="31839A7A" w14:textId="77777777" w:rsidR="00B54C0B" w:rsidRDefault="00000000">
            <w:pPr>
              <w:widowControl w:val="0"/>
              <w:spacing w:after="0" w:line="240" w:lineRule="auto"/>
              <w:jc w:val="center"/>
              <w:rPr>
                <w:sz w:val="18"/>
                <w:szCs w:val="18"/>
              </w:rPr>
            </w:pPr>
            <w:r>
              <w:rPr>
                <w:sz w:val="18"/>
                <w:szCs w:val="18"/>
              </w:rPr>
              <w:t>135.599</w:t>
            </w:r>
          </w:p>
        </w:tc>
        <w:tc>
          <w:tcPr>
            <w:tcW w:w="1530" w:type="dxa"/>
            <w:tcMar>
              <w:top w:w="100" w:type="dxa"/>
              <w:left w:w="100" w:type="dxa"/>
              <w:bottom w:w="100" w:type="dxa"/>
              <w:right w:w="100" w:type="dxa"/>
            </w:tcMar>
          </w:tcPr>
          <w:p w14:paraId="20C9FA50" w14:textId="77777777" w:rsidR="00B54C0B" w:rsidRDefault="00000000">
            <w:pPr>
              <w:widowControl w:val="0"/>
              <w:spacing w:after="0" w:line="240" w:lineRule="auto"/>
              <w:jc w:val="center"/>
              <w:rPr>
                <w:sz w:val="18"/>
                <w:szCs w:val="18"/>
              </w:rPr>
            </w:pPr>
            <w:r>
              <w:rPr>
                <w:sz w:val="18"/>
                <w:szCs w:val="18"/>
              </w:rPr>
              <w:t>100%</w:t>
            </w:r>
          </w:p>
        </w:tc>
        <w:tc>
          <w:tcPr>
            <w:tcW w:w="6591" w:type="dxa"/>
            <w:tcMar>
              <w:top w:w="100" w:type="dxa"/>
              <w:left w:w="100" w:type="dxa"/>
              <w:bottom w:w="100" w:type="dxa"/>
              <w:right w:w="100" w:type="dxa"/>
            </w:tcMar>
          </w:tcPr>
          <w:p w14:paraId="7F94872E" w14:textId="77777777" w:rsidR="00B54C0B" w:rsidRDefault="00000000">
            <w:pPr>
              <w:widowControl w:val="0"/>
              <w:spacing w:after="0" w:line="240" w:lineRule="auto"/>
              <w:jc w:val="both"/>
              <w:rPr>
                <w:sz w:val="18"/>
                <w:szCs w:val="18"/>
              </w:rPr>
            </w:pPr>
            <w:r>
              <w:rPr>
                <w:sz w:val="18"/>
                <w:szCs w:val="18"/>
              </w:rPr>
              <w:t xml:space="preserve">El avance acumulado (PDD) a diciembre 31 de 2025 equivale a un total de 203.727 estudiantes beneficiados a través de los proyectos de Ciempiés, Al Colegio en Bici, BiciParceros, Ruta Pila y la estrategia Guardacaminos que pertenecen al Programa Niñas y Niños Primero; de los cuales durante la vigencia 2024 se beneficiaron un total de </w:t>
            </w:r>
            <w:r>
              <w:rPr>
                <w:sz w:val="18"/>
                <w:szCs w:val="18"/>
              </w:rPr>
              <w:lastRenderedPageBreak/>
              <w:t>68.128 y a la vigencia 2025 se beneficiaron a 135.599. A continuación, el reporte acumulado PDD de los estudiantes por actividad: ACB 18.913; Ciempiés 6.250; Guardacaminos 53.492; y Ruta Pila 125.072.</w:t>
            </w:r>
          </w:p>
          <w:p w14:paraId="0012F1CA" w14:textId="77777777" w:rsidR="00B54C0B" w:rsidRDefault="00B54C0B">
            <w:pPr>
              <w:widowControl w:val="0"/>
              <w:spacing w:after="0" w:line="240" w:lineRule="auto"/>
              <w:jc w:val="both"/>
              <w:rPr>
                <w:sz w:val="18"/>
                <w:szCs w:val="18"/>
              </w:rPr>
            </w:pPr>
          </w:p>
          <w:p w14:paraId="71D29272" w14:textId="77777777" w:rsidR="00B54C0B" w:rsidRDefault="00000000">
            <w:pPr>
              <w:widowControl w:val="0"/>
              <w:spacing w:after="0" w:line="240" w:lineRule="auto"/>
              <w:jc w:val="both"/>
              <w:rPr>
                <w:sz w:val="18"/>
                <w:szCs w:val="18"/>
              </w:rPr>
            </w:pPr>
            <w:r>
              <w:rPr>
                <w:sz w:val="18"/>
                <w:szCs w:val="18"/>
              </w:rPr>
              <w:t xml:space="preserve">Durante la vigencia 2025 para el programa Al Colegio en Bici, se ha logrado beneficiar de 9.082 estudiantes De estos beneficiarios, 5.863 tienen entre 5 y 12 años, y 3219 tienen 13 años o más. Además, 3.541 son niñas y 5.541son niños. </w:t>
            </w:r>
          </w:p>
          <w:p w14:paraId="364904DF" w14:textId="77777777" w:rsidR="00B54C0B" w:rsidRDefault="00000000">
            <w:pPr>
              <w:widowControl w:val="0"/>
              <w:spacing w:after="0" w:line="240" w:lineRule="auto"/>
              <w:jc w:val="both"/>
              <w:rPr>
                <w:sz w:val="18"/>
                <w:szCs w:val="18"/>
              </w:rPr>
            </w:pPr>
            <w:r>
              <w:rPr>
                <w:sz w:val="18"/>
                <w:szCs w:val="18"/>
              </w:rPr>
              <w:t>En relación con las comunidades, se han beneficiado se han beneficiado 74 estudiantes de la comunidad afro, 1 Raizal y 60 estudiantes de la comunidad indígena (3 Achagua, 2 Awa,2 Chimila,1 Camentsa,1 karapana,2 Kichwa, 28 Muiscas,1 Pasto, 1 Pijao,1 Murui, 4 Wayuu, 2 Wiwa, 8 Zenu, 1 No registra) y 176 beneficiarios con discapacidad (6 con discapacidad Física, 114 con discapacidad intelectual, 11 con discapacidad auditiva, 8 con discapacidad múltiple, 19 con discapacidad mental, 2 con discapacidad visual y 16 con autismo).</w:t>
            </w:r>
          </w:p>
          <w:p w14:paraId="2A4C9E07" w14:textId="77777777" w:rsidR="00B54C0B" w:rsidRDefault="00B54C0B">
            <w:pPr>
              <w:widowControl w:val="0"/>
              <w:spacing w:after="0" w:line="240" w:lineRule="auto"/>
              <w:jc w:val="both"/>
              <w:rPr>
                <w:sz w:val="18"/>
                <w:szCs w:val="18"/>
              </w:rPr>
            </w:pPr>
          </w:p>
          <w:p w14:paraId="5857432A" w14:textId="77777777" w:rsidR="00B54C0B" w:rsidRDefault="00000000">
            <w:pPr>
              <w:widowControl w:val="0"/>
              <w:spacing w:after="0" w:line="240" w:lineRule="auto"/>
              <w:jc w:val="both"/>
              <w:rPr>
                <w:sz w:val="18"/>
                <w:szCs w:val="18"/>
              </w:rPr>
            </w:pPr>
            <w:r>
              <w:rPr>
                <w:sz w:val="18"/>
                <w:szCs w:val="18"/>
              </w:rPr>
              <w:t>Para el programa de Ciempiés, de los 3.323 beneficiarios en lo que va de la vigencia del programa. La distribución por localidades es la siguiente: Usaquén (430), San Cristóbal (214), Tunjuelito (103), Bosa (686), Kennedy (496), Suba (571), Mártires (238), Rafael Uribe Uribe (346) y Ciudad Bolívar (239). De estos beneficiarios 2929 tienen entre 5 y 12 años, y 394 tienen 13 años o más. Además, 1646 son niñas y 1.677 son niños. En relación con las comunidades, se beneficiaron 16 estudiantes de la comunidad afro y 22 de la comunidad indígena (incluyendo 8 Embera, 2 Muiscas, 1 Paez,1 Wayuu, 1 Tikuna, 5 Quechua y 4 Kichwa).</w:t>
            </w:r>
          </w:p>
          <w:p w14:paraId="26B88D2F" w14:textId="77777777" w:rsidR="00B54C0B" w:rsidRDefault="00B54C0B">
            <w:pPr>
              <w:widowControl w:val="0"/>
              <w:spacing w:after="0" w:line="240" w:lineRule="auto"/>
              <w:jc w:val="both"/>
              <w:rPr>
                <w:sz w:val="18"/>
                <w:szCs w:val="18"/>
              </w:rPr>
            </w:pPr>
          </w:p>
          <w:p w14:paraId="110CFF45" w14:textId="77777777" w:rsidR="00B54C0B" w:rsidRDefault="00000000">
            <w:pPr>
              <w:widowControl w:val="0"/>
              <w:spacing w:after="0" w:line="240" w:lineRule="auto"/>
              <w:jc w:val="both"/>
              <w:rPr>
                <w:sz w:val="18"/>
                <w:szCs w:val="18"/>
              </w:rPr>
            </w:pPr>
            <w:r>
              <w:rPr>
                <w:sz w:val="18"/>
                <w:szCs w:val="18"/>
              </w:rPr>
              <w:t>Para el programa de Guardacaminos, se han beneficiado 31.492 en lo que va de la vigencia del programa. Esta cifra se distribuye por localidades de la siguiente manera: San Cristóbal (2500), Usme (3.866), Tunjuelito (620), Bosa (9.900) Kennedy (4.499), Engativá (4.990), Suba (287) Antonio Nariño (1.620), Rafael Uribe Uribe (500) y Ciudad Bolívar (2.710), con la ayuda de 224 voluntarios que garantizan la igualdad en el acceso y protección de todos los beneficiados.</w:t>
            </w:r>
          </w:p>
          <w:p w14:paraId="3AA9C093" w14:textId="77777777" w:rsidR="00B54C0B" w:rsidRDefault="00B54C0B">
            <w:pPr>
              <w:widowControl w:val="0"/>
              <w:spacing w:after="0" w:line="240" w:lineRule="auto"/>
              <w:jc w:val="both"/>
              <w:rPr>
                <w:sz w:val="18"/>
                <w:szCs w:val="18"/>
              </w:rPr>
            </w:pPr>
          </w:p>
          <w:p w14:paraId="1D4D9E52" w14:textId="77777777" w:rsidR="00B54C0B" w:rsidRDefault="00000000">
            <w:pPr>
              <w:widowControl w:val="0"/>
              <w:spacing w:after="0" w:line="240" w:lineRule="auto"/>
              <w:jc w:val="both"/>
              <w:rPr>
                <w:sz w:val="18"/>
                <w:szCs w:val="18"/>
              </w:rPr>
            </w:pPr>
            <w:r>
              <w:rPr>
                <w:sz w:val="18"/>
                <w:szCs w:val="18"/>
              </w:rPr>
              <w:t>Para el programa de Ruta Pila, se han beneficiado de estos controles a 91,702 beneficiarios en lo que va de la vigencia del programa. Esta cifra se distribuye por localidades de la siguiente manera:Usaquén (10.746), Chapinero (2735), Santa Fe (2297), San Cristóbal (419), Tunjuelito (9.093), Bosa (1.958), Kennedy (11.471), Fontibón (10.200), Engativá (7.166), Suba (21.490), Barrios Unidos (1.264), Teusaquillo (6.172), Mártires (972), Antonio Nariño (689), Puente Aranda (2.493), Rafael Uribe Uribe (1.562) y Ciudad Bolívar (975).</w:t>
            </w:r>
          </w:p>
          <w:p w14:paraId="45BF7E3D" w14:textId="77777777" w:rsidR="00B54C0B" w:rsidRDefault="00B54C0B">
            <w:pPr>
              <w:widowControl w:val="0"/>
              <w:spacing w:after="0" w:line="240" w:lineRule="auto"/>
              <w:jc w:val="both"/>
              <w:rPr>
                <w:sz w:val="18"/>
                <w:szCs w:val="18"/>
              </w:rPr>
            </w:pPr>
          </w:p>
        </w:tc>
      </w:tr>
      <w:tr w:rsidR="00B54C0B" w14:paraId="072A5266" w14:textId="77777777">
        <w:trPr>
          <w:trHeight w:val="420"/>
        </w:trPr>
        <w:tc>
          <w:tcPr>
            <w:tcW w:w="2565" w:type="dxa"/>
            <w:tcMar>
              <w:top w:w="100" w:type="dxa"/>
              <w:left w:w="100" w:type="dxa"/>
              <w:bottom w:w="100" w:type="dxa"/>
              <w:right w:w="100" w:type="dxa"/>
            </w:tcMar>
          </w:tcPr>
          <w:p w14:paraId="5C2399E7" w14:textId="77777777" w:rsidR="00B54C0B" w:rsidRDefault="00000000">
            <w:pPr>
              <w:widowControl w:val="0"/>
              <w:spacing w:after="0" w:line="240" w:lineRule="auto"/>
              <w:jc w:val="both"/>
              <w:rPr>
                <w:sz w:val="20"/>
                <w:szCs w:val="20"/>
              </w:rPr>
            </w:pPr>
            <w:r>
              <w:rPr>
                <w:sz w:val="18"/>
                <w:szCs w:val="18"/>
              </w:rPr>
              <w:lastRenderedPageBreak/>
              <w:t xml:space="preserve">1982. Realizar 35.000 intervenciones en las vías y el espacio público para la movilidad enfocadas en la mejora de la seguridad vial, priorizando actividades de </w:t>
            </w:r>
            <w:r>
              <w:rPr>
                <w:sz w:val="18"/>
                <w:szCs w:val="18"/>
              </w:rPr>
              <w:lastRenderedPageBreak/>
              <w:t>señalización y demarcación</w:t>
            </w:r>
          </w:p>
        </w:tc>
        <w:tc>
          <w:tcPr>
            <w:tcW w:w="1500" w:type="dxa"/>
            <w:tcMar>
              <w:top w:w="100" w:type="dxa"/>
              <w:left w:w="100" w:type="dxa"/>
              <w:bottom w:w="100" w:type="dxa"/>
              <w:right w:w="100" w:type="dxa"/>
            </w:tcMar>
          </w:tcPr>
          <w:p w14:paraId="5CD414EC" w14:textId="77777777" w:rsidR="00B54C0B" w:rsidRDefault="00000000">
            <w:pPr>
              <w:widowControl w:val="0"/>
              <w:spacing w:after="0" w:line="240" w:lineRule="auto"/>
              <w:jc w:val="center"/>
              <w:rPr>
                <w:sz w:val="18"/>
                <w:szCs w:val="18"/>
              </w:rPr>
            </w:pPr>
            <w:r>
              <w:rPr>
                <w:sz w:val="18"/>
                <w:szCs w:val="18"/>
              </w:rPr>
              <w:lastRenderedPageBreak/>
              <w:t>14.667</w:t>
            </w:r>
          </w:p>
        </w:tc>
        <w:tc>
          <w:tcPr>
            <w:tcW w:w="1245" w:type="dxa"/>
            <w:tcMar>
              <w:top w:w="100" w:type="dxa"/>
              <w:left w:w="100" w:type="dxa"/>
              <w:bottom w:w="100" w:type="dxa"/>
              <w:right w:w="100" w:type="dxa"/>
            </w:tcMar>
          </w:tcPr>
          <w:p w14:paraId="4F33920D" w14:textId="77777777" w:rsidR="00B54C0B" w:rsidRDefault="00000000">
            <w:pPr>
              <w:widowControl w:val="0"/>
              <w:spacing w:after="0" w:line="240" w:lineRule="auto"/>
              <w:jc w:val="center"/>
              <w:rPr>
                <w:sz w:val="18"/>
                <w:szCs w:val="18"/>
              </w:rPr>
            </w:pPr>
            <w:r>
              <w:rPr>
                <w:sz w:val="18"/>
                <w:szCs w:val="18"/>
              </w:rPr>
              <w:t>14.667</w:t>
            </w:r>
          </w:p>
        </w:tc>
        <w:tc>
          <w:tcPr>
            <w:tcW w:w="1530" w:type="dxa"/>
            <w:tcMar>
              <w:top w:w="100" w:type="dxa"/>
              <w:left w:w="100" w:type="dxa"/>
              <w:bottom w:w="100" w:type="dxa"/>
              <w:right w:w="100" w:type="dxa"/>
            </w:tcMar>
          </w:tcPr>
          <w:p w14:paraId="0876E148" w14:textId="77777777" w:rsidR="00B54C0B" w:rsidRDefault="00000000">
            <w:pPr>
              <w:widowControl w:val="0"/>
              <w:spacing w:after="0" w:line="240" w:lineRule="auto"/>
              <w:jc w:val="center"/>
              <w:rPr>
                <w:sz w:val="18"/>
                <w:szCs w:val="18"/>
              </w:rPr>
            </w:pPr>
            <w:r>
              <w:rPr>
                <w:sz w:val="18"/>
                <w:szCs w:val="18"/>
              </w:rPr>
              <w:t>100%</w:t>
            </w:r>
          </w:p>
        </w:tc>
        <w:tc>
          <w:tcPr>
            <w:tcW w:w="6591" w:type="dxa"/>
            <w:tcMar>
              <w:top w:w="100" w:type="dxa"/>
              <w:left w:w="100" w:type="dxa"/>
              <w:bottom w:w="100" w:type="dxa"/>
              <w:right w:w="100" w:type="dxa"/>
            </w:tcMar>
          </w:tcPr>
          <w:p w14:paraId="53AD317D" w14:textId="77777777" w:rsidR="00B54C0B" w:rsidRDefault="00000000">
            <w:pPr>
              <w:widowControl w:val="0"/>
              <w:spacing w:after="0" w:line="240" w:lineRule="auto"/>
              <w:jc w:val="both"/>
              <w:rPr>
                <w:sz w:val="18"/>
                <w:szCs w:val="18"/>
              </w:rPr>
            </w:pPr>
            <w:r>
              <w:rPr>
                <w:sz w:val="18"/>
                <w:szCs w:val="18"/>
              </w:rPr>
              <w:t>En lo corrido del Plan de Desarrollo se ha logrado la realización de 17.307 intervenciones integrales de malla vial local MVL, malla vial intermedia MVI y malla vial arterial  MVA, así como intervenciones de prevención vial. Esto es, 2.640 para 2024 y 14.667 para 2025 corte a Diciembre.</w:t>
            </w:r>
          </w:p>
          <w:p w14:paraId="36507A4D" w14:textId="77777777" w:rsidR="00B54C0B" w:rsidRDefault="00000000">
            <w:pPr>
              <w:widowControl w:val="0"/>
              <w:spacing w:after="0" w:line="240" w:lineRule="auto"/>
              <w:jc w:val="both"/>
              <w:rPr>
                <w:sz w:val="18"/>
                <w:szCs w:val="18"/>
              </w:rPr>
            </w:pPr>
            <w:r>
              <w:rPr>
                <w:sz w:val="18"/>
                <w:szCs w:val="18"/>
              </w:rPr>
              <w:t>A continuación, el detalle de la vigencia 2025.</w:t>
            </w:r>
          </w:p>
          <w:p w14:paraId="4870B968" w14:textId="77777777" w:rsidR="00B54C0B" w:rsidRDefault="00000000">
            <w:pPr>
              <w:widowControl w:val="0"/>
              <w:spacing w:after="0" w:line="240" w:lineRule="auto"/>
              <w:jc w:val="both"/>
              <w:rPr>
                <w:sz w:val="18"/>
                <w:szCs w:val="18"/>
              </w:rPr>
            </w:pPr>
            <w:r>
              <w:rPr>
                <w:sz w:val="18"/>
                <w:szCs w:val="18"/>
              </w:rPr>
              <w:t xml:space="preserve">En materia de señalización, a través del proyecto 8000 se realizaron 13.500 </w:t>
            </w:r>
            <w:r>
              <w:rPr>
                <w:sz w:val="18"/>
                <w:szCs w:val="18"/>
              </w:rPr>
              <w:lastRenderedPageBreak/>
              <w:t>intervenciones integrales Malla Vial Local, MVI y MVA  de la ciudad, dentro de las que se encuentran: medidas integrales de gestión, mantenimiento e implementación de señales verticales  y pasos peatonales, mejorando las condiciones de las condiciones de movilidad y seguridad vial.  Las 13.500 intervenciones corresponden a 4.300 segmentos de malla vial arterial equivalentes a (473,346 Km.) y  9.200 segmentos de malla vial  intermedia y local (897,67 Km).</w:t>
            </w:r>
          </w:p>
          <w:p w14:paraId="2785B807" w14:textId="77777777" w:rsidR="00B54C0B" w:rsidRDefault="00000000">
            <w:pPr>
              <w:widowControl w:val="0"/>
              <w:spacing w:after="0" w:line="240" w:lineRule="auto"/>
              <w:jc w:val="both"/>
              <w:rPr>
                <w:sz w:val="18"/>
                <w:szCs w:val="18"/>
              </w:rPr>
            </w:pPr>
            <w:r>
              <w:rPr>
                <w:sz w:val="18"/>
                <w:szCs w:val="18"/>
              </w:rPr>
              <w:t xml:space="preserve">Adicionalmente, en las 1.167 intervenciones realizadas se ha logrado sensibilizar a 346.612 actores viales.                                                                                                                                                                                                                                                                                                                                                        El desglose por tipo de actor vial es el siguientes: *Motociclistas: 161.035 (46.5%); *Peatones: 54.324 (15.7%); *Conductores: 50.936 (14.7%); *Ciclistas: 37.031 (10.7%); * Pasajeros: 29.361 (8.5%); * Estudiantes: 13.925 (4.0%).     </w:t>
            </w:r>
          </w:p>
          <w:p w14:paraId="4FF1B7F0" w14:textId="77777777" w:rsidR="00B54C0B" w:rsidRDefault="00B54C0B">
            <w:pPr>
              <w:widowControl w:val="0"/>
              <w:spacing w:after="0" w:line="240" w:lineRule="auto"/>
              <w:jc w:val="both"/>
              <w:rPr>
                <w:sz w:val="18"/>
                <w:szCs w:val="18"/>
              </w:rPr>
            </w:pPr>
          </w:p>
        </w:tc>
      </w:tr>
      <w:tr w:rsidR="00B54C0B" w14:paraId="34A4F0EE" w14:textId="77777777">
        <w:trPr>
          <w:trHeight w:val="420"/>
        </w:trPr>
        <w:tc>
          <w:tcPr>
            <w:tcW w:w="2565" w:type="dxa"/>
            <w:tcMar>
              <w:top w:w="100" w:type="dxa"/>
              <w:left w:w="100" w:type="dxa"/>
              <w:bottom w:w="100" w:type="dxa"/>
              <w:right w:w="100" w:type="dxa"/>
            </w:tcMar>
          </w:tcPr>
          <w:p w14:paraId="7DA7CF38" w14:textId="77777777" w:rsidR="00B54C0B" w:rsidRDefault="00000000">
            <w:pPr>
              <w:widowControl w:val="0"/>
              <w:spacing w:after="0" w:line="240" w:lineRule="auto"/>
              <w:jc w:val="both"/>
              <w:rPr>
                <w:sz w:val="20"/>
                <w:szCs w:val="20"/>
              </w:rPr>
            </w:pPr>
            <w:r>
              <w:rPr>
                <w:sz w:val="18"/>
                <w:szCs w:val="18"/>
              </w:rPr>
              <w:lastRenderedPageBreak/>
              <w:t>1985. Recuperar 30.000 m2 de espacio público para una movilidad más segura y accesible, principalmente en entornos relacionados con la movilidad activa y sostenible, siguiendo el enfoque de calle completa</w:t>
            </w:r>
          </w:p>
        </w:tc>
        <w:tc>
          <w:tcPr>
            <w:tcW w:w="1500" w:type="dxa"/>
            <w:tcMar>
              <w:top w:w="100" w:type="dxa"/>
              <w:left w:w="100" w:type="dxa"/>
              <w:bottom w:w="100" w:type="dxa"/>
              <w:right w:w="100" w:type="dxa"/>
            </w:tcMar>
          </w:tcPr>
          <w:p w14:paraId="29C59214" w14:textId="77777777" w:rsidR="00B54C0B" w:rsidRDefault="00000000">
            <w:pPr>
              <w:widowControl w:val="0"/>
              <w:spacing w:after="0" w:line="240" w:lineRule="auto"/>
              <w:jc w:val="center"/>
              <w:rPr>
                <w:sz w:val="18"/>
                <w:szCs w:val="18"/>
              </w:rPr>
            </w:pPr>
            <w:r>
              <w:rPr>
                <w:sz w:val="18"/>
                <w:szCs w:val="18"/>
              </w:rPr>
              <w:t>5.984,17</w:t>
            </w:r>
          </w:p>
        </w:tc>
        <w:tc>
          <w:tcPr>
            <w:tcW w:w="1245" w:type="dxa"/>
            <w:tcMar>
              <w:top w:w="100" w:type="dxa"/>
              <w:left w:w="100" w:type="dxa"/>
              <w:bottom w:w="100" w:type="dxa"/>
              <w:right w:w="100" w:type="dxa"/>
            </w:tcMar>
          </w:tcPr>
          <w:p w14:paraId="1B81D120" w14:textId="77777777" w:rsidR="00B54C0B" w:rsidRDefault="00000000">
            <w:pPr>
              <w:widowControl w:val="0"/>
              <w:spacing w:after="0" w:line="240" w:lineRule="auto"/>
              <w:jc w:val="center"/>
              <w:rPr>
                <w:sz w:val="18"/>
                <w:szCs w:val="18"/>
              </w:rPr>
            </w:pPr>
            <w:r>
              <w:rPr>
                <w:sz w:val="18"/>
                <w:szCs w:val="18"/>
              </w:rPr>
              <w:t>5.984,17</w:t>
            </w:r>
          </w:p>
        </w:tc>
        <w:tc>
          <w:tcPr>
            <w:tcW w:w="1530" w:type="dxa"/>
            <w:tcMar>
              <w:top w:w="100" w:type="dxa"/>
              <w:left w:w="100" w:type="dxa"/>
              <w:bottom w:w="100" w:type="dxa"/>
              <w:right w:w="100" w:type="dxa"/>
            </w:tcMar>
          </w:tcPr>
          <w:p w14:paraId="5E407384" w14:textId="77777777" w:rsidR="00B54C0B" w:rsidRDefault="00000000">
            <w:pPr>
              <w:widowControl w:val="0"/>
              <w:spacing w:after="0" w:line="240" w:lineRule="auto"/>
              <w:jc w:val="center"/>
              <w:rPr>
                <w:sz w:val="18"/>
                <w:szCs w:val="18"/>
              </w:rPr>
            </w:pPr>
            <w:r>
              <w:rPr>
                <w:sz w:val="18"/>
                <w:szCs w:val="18"/>
              </w:rPr>
              <w:t>100%</w:t>
            </w:r>
          </w:p>
        </w:tc>
        <w:tc>
          <w:tcPr>
            <w:tcW w:w="6591" w:type="dxa"/>
            <w:tcMar>
              <w:top w:w="100" w:type="dxa"/>
              <w:left w:w="100" w:type="dxa"/>
              <w:bottom w:w="100" w:type="dxa"/>
              <w:right w:w="100" w:type="dxa"/>
            </w:tcMar>
          </w:tcPr>
          <w:p w14:paraId="699C8650" w14:textId="77777777" w:rsidR="00B54C0B" w:rsidRDefault="00000000">
            <w:pPr>
              <w:widowControl w:val="0"/>
              <w:spacing w:after="0" w:line="240" w:lineRule="auto"/>
              <w:jc w:val="both"/>
              <w:rPr>
                <w:sz w:val="18"/>
                <w:szCs w:val="18"/>
              </w:rPr>
            </w:pPr>
            <w:r>
              <w:rPr>
                <w:sz w:val="18"/>
                <w:szCs w:val="18"/>
              </w:rPr>
              <w:t xml:space="preserve">En lo corrido del Plan de Desarrollo se han implementado 7.385,98 m2, de los cuales 1401,81 mts.2 se lograron en la vigencia 2024. En la vigencia 2025 a Diciembre se han implementado 5.984,17 m2. que corresponden: (Anden emergente) "Parque el Virrey" esta intervención comprende señales verticales de límite de velocidad, pictogramas horizontales de zona escolar y cruces peatonales, pasos peatonales tipo cebra, segregadores y dispositivos de canalización para delimitar el espacio peatonal, con esta intervención se logra beneficiar a cerca de 1.350 niñas y niños que circulan por esta zona, garantizando pasos seguros peatonal, de las instituciones educativas El Liceo Francés Louis Pasteur y el Jardín Infantil Platero y yo. Con este proyecto se recuperaron 966,13 m2 de espacio público, en una longitud de 300 metros, se conecta el Parque El Virrey </w:t>
            </w:r>
            <w:r>
              <w:rPr>
                <w:sz w:val="18"/>
                <w:szCs w:val="18"/>
              </w:rPr>
              <w:lastRenderedPageBreak/>
              <w:t>con la Ciclorruta de la Calle 92.UT BICI KENNEDY esta intervención integra un conjunto de acciones de señalización y canalización orientadas a mejorar la seguridad vial, reducir la velocidad vehicular y ordenar los flujos de movilidad en los entornos escolares.Se implementó señalización convencional y no convencional, combinando elementos del urbanismo táctico con recursos visuales que alertan sobre la presencia de peatones y ciclistas, especialmente en zonas con alta afluencia estudiantil.En los entornos escolares inmediatos se estableció una velocidad máxima de 20 km/h, reforzada con señalización vertical, demarcaciones horizontales y medidas de tráfico calmado como resaltos y cruces seguros.La canalización física se complementa con bolardos, delineadores, bordillos y separadores, que delimitan claramente los espacios peatonales y ciclistas, evitando la invasión vehicular y mejorando la legibilidad del entorno.La intervención permitió una recuperación de 2.204,38 mt2s, y se desarrolló en la localidad de Kennedy, mejorando la movilidad en los entornos de los colegios Tom Adams y Emaús, beneficiando además a instituciones como el INEM de Kennedy, Colegio Ateniense, San Rafael y Pablo VI, así como a los usuarios de los equipamientos de salud cercanos (UPA Bomberos y Centro Médico Cafam).</w:t>
            </w:r>
          </w:p>
          <w:p w14:paraId="34D99277" w14:textId="77777777" w:rsidR="00B54C0B" w:rsidRDefault="00000000">
            <w:pPr>
              <w:widowControl w:val="0"/>
              <w:spacing w:after="0" w:line="240" w:lineRule="auto"/>
              <w:jc w:val="both"/>
              <w:rPr>
                <w:sz w:val="18"/>
                <w:szCs w:val="18"/>
              </w:rPr>
            </w:pPr>
            <w:r>
              <w:rPr>
                <w:sz w:val="18"/>
                <w:szCs w:val="18"/>
              </w:rPr>
              <w:t xml:space="preserve">UT PEP COLOMBIA esta intervención comprende: Señales verticales de límite de velocidad, pictogramas horizontales de zona escolar y cruces peatonales, pasos peatonales tipo cebra, segregadores y dispositivos de canalización para delimitar el espacio peatonal, lo anterior, permite la recuperación de 393 m² de espacio público, demarcación de cinco cruces seguros en dos intersecciones complementadas con medidas de tráfico calmado y control de velocidad, establecimiento del límite de velocidad en 30 km/h, mejoramiento de la infraestructura ciclista sobre la Calle 71A </w:t>
            </w:r>
            <w:r>
              <w:rPr>
                <w:sz w:val="18"/>
                <w:szCs w:val="18"/>
              </w:rPr>
              <w:lastRenderedPageBreak/>
              <w:t>entre Carreras 19 y 20, incorporando elementos de segregación que previenen la invasión vehicular.</w:t>
            </w:r>
          </w:p>
          <w:p w14:paraId="19D4AC2F" w14:textId="77777777" w:rsidR="00B54C0B" w:rsidRDefault="00000000">
            <w:pPr>
              <w:widowControl w:val="0"/>
              <w:spacing w:after="0" w:line="240" w:lineRule="auto"/>
              <w:jc w:val="both"/>
              <w:rPr>
                <w:sz w:val="18"/>
                <w:szCs w:val="18"/>
              </w:rPr>
            </w:pPr>
            <w:r>
              <w:rPr>
                <w:sz w:val="18"/>
                <w:szCs w:val="18"/>
              </w:rPr>
              <w:t>REFUERZO CARACTER PEATONAL-MURILLO TORO (CL 12A ENTRE KR 7 Y KR 8): esta intervención comprende 1.251,38 metros cuadrados: delimitación del ancho del carril vehicular de ingreso al predio del edificio Murillo Toro, estableciendo una sección, que permitió redistribuir el espacio disponible y habilitar una ciclorruta  bidireccional, garantizando la continuidad operacional entre la ciclorruta de la Carrera 7 y la Carrera 8; se implementaron Señales verticales de prohibido parquear con plaquetas informativas en ambos costados, señal nueva de restricción de ingreso para vehículos y motocicletas, con plaqueta “Excepto ingreso a garajes”, segregadores y dispositivos de canalización para delimitar el espacio peatonal, definición clara de los accesos vehiculares, delimitación y restricción del paso vehicular: Se implementó la instalación de elementos físicos como bolardos y materas.</w:t>
            </w:r>
          </w:p>
          <w:p w14:paraId="0EDE4F75" w14:textId="77777777" w:rsidR="00B54C0B" w:rsidRDefault="00000000">
            <w:pPr>
              <w:widowControl w:val="0"/>
              <w:spacing w:after="0" w:line="240" w:lineRule="auto"/>
              <w:jc w:val="both"/>
              <w:rPr>
                <w:sz w:val="18"/>
                <w:szCs w:val="18"/>
              </w:rPr>
            </w:pPr>
            <w:r>
              <w:rPr>
                <w:sz w:val="18"/>
                <w:szCs w:val="18"/>
              </w:rPr>
              <w:t xml:space="preserve">CORREDOR CULTURAL CALLE 11 : La intervención de urbanismo táctico desarrollada en el segmento vial de la Calle 11, entre la Carrera 5 y la Carrera 7, tuvo como propósito avanzar en la peatonalización del corredor mediante acciones temporales que priorizan al peatón, regulan el acceso vehicular a los predios y preparan el eje para su consolidación como Corredor Cultural, en línea con las directrices establecidas en el Plan Especial de Manejo y Protección del Centro Histórico de Bogotá (PEMP-CHB). La peatonalización temporal del eje se implementó a través de medidas de urbanismo táctico, orientadas a ordenar los flujos, mejorar la accesibilidad peatonal, fortalecer el carácter cultural del corredor y avanzar en las fases iniciales de transformación previstas en el PEMP-CHB. Se realizó la demarcación del corredor peatonal, delimitación y </w:t>
            </w:r>
            <w:r>
              <w:rPr>
                <w:sz w:val="18"/>
                <w:szCs w:val="18"/>
              </w:rPr>
              <w:lastRenderedPageBreak/>
              <w:t xml:space="preserve">restricción del paso vehicular, señales verticales de restricción de ingreso vehicular, señal reglamentaria de prohibición de ingreso a camiones fuera de los horarios autorizados, segregadores y dispositivos de canalización para la delimitación del espacio peatonal.  Se realizó la intervención de un proyecto de Urbanismo táctico "Corredor cultural calle 11 (1.169,28 m2)" en la localidad de La Candelaria </w:t>
            </w:r>
          </w:p>
          <w:p w14:paraId="019B00D1" w14:textId="77777777" w:rsidR="00B54C0B" w:rsidRDefault="00000000">
            <w:pPr>
              <w:widowControl w:val="0"/>
              <w:spacing w:after="0" w:line="240" w:lineRule="auto"/>
              <w:jc w:val="both"/>
              <w:rPr>
                <w:sz w:val="18"/>
                <w:szCs w:val="18"/>
              </w:rPr>
            </w:pPr>
            <w:r>
              <w:rPr>
                <w:sz w:val="18"/>
                <w:szCs w:val="18"/>
              </w:rPr>
              <w:t xml:space="preserve">Además de destinar un nuevo espacio recuperado para los peatones, las dinámicas propias del lugar lo definen como un nuevo espacio para el deporte y la recreación pasiva de la ciudad. </w:t>
            </w:r>
          </w:p>
          <w:p w14:paraId="327B0614" w14:textId="77777777" w:rsidR="00B54C0B" w:rsidRDefault="00B54C0B">
            <w:pPr>
              <w:widowControl w:val="0"/>
              <w:spacing w:after="0" w:line="240" w:lineRule="auto"/>
              <w:jc w:val="both"/>
              <w:rPr>
                <w:sz w:val="18"/>
                <w:szCs w:val="18"/>
              </w:rPr>
            </w:pPr>
          </w:p>
        </w:tc>
      </w:tr>
      <w:tr w:rsidR="00B54C0B" w14:paraId="75B6C266" w14:textId="77777777">
        <w:trPr>
          <w:trHeight w:val="420"/>
        </w:trPr>
        <w:tc>
          <w:tcPr>
            <w:tcW w:w="2565" w:type="dxa"/>
            <w:tcMar>
              <w:top w:w="100" w:type="dxa"/>
              <w:left w:w="100" w:type="dxa"/>
              <w:bottom w:w="100" w:type="dxa"/>
              <w:right w:w="100" w:type="dxa"/>
            </w:tcMar>
          </w:tcPr>
          <w:p w14:paraId="36BB9A43" w14:textId="77777777" w:rsidR="00B54C0B" w:rsidRDefault="00000000">
            <w:pPr>
              <w:widowControl w:val="0"/>
              <w:spacing w:after="0" w:line="240" w:lineRule="auto"/>
              <w:jc w:val="both"/>
              <w:rPr>
                <w:sz w:val="20"/>
                <w:szCs w:val="20"/>
              </w:rPr>
            </w:pPr>
            <w:r>
              <w:rPr>
                <w:sz w:val="18"/>
                <w:szCs w:val="18"/>
              </w:rPr>
              <w:lastRenderedPageBreak/>
              <w:t>1983. Realizar seguimiento al 100% de los PMT (Planes de Manejo de Tránsito) que generen mayor afectación a los usuarios priorizando la seguridad e infraestructura a las y los peatones y ciclistas</w:t>
            </w:r>
          </w:p>
        </w:tc>
        <w:tc>
          <w:tcPr>
            <w:tcW w:w="1500" w:type="dxa"/>
            <w:tcMar>
              <w:top w:w="100" w:type="dxa"/>
              <w:left w:w="100" w:type="dxa"/>
              <w:bottom w:w="100" w:type="dxa"/>
              <w:right w:w="100" w:type="dxa"/>
            </w:tcMar>
          </w:tcPr>
          <w:p w14:paraId="5619DC96" w14:textId="77777777" w:rsidR="00B54C0B" w:rsidRDefault="00000000">
            <w:pPr>
              <w:widowControl w:val="0"/>
              <w:spacing w:after="0" w:line="240" w:lineRule="auto"/>
              <w:jc w:val="center"/>
              <w:rPr>
                <w:sz w:val="18"/>
                <w:szCs w:val="18"/>
              </w:rPr>
            </w:pPr>
            <w:r>
              <w:rPr>
                <w:sz w:val="18"/>
                <w:szCs w:val="18"/>
              </w:rPr>
              <w:t>100%</w:t>
            </w:r>
          </w:p>
        </w:tc>
        <w:tc>
          <w:tcPr>
            <w:tcW w:w="1245" w:type="dxa"/>
            <w:tcMar>
              <w:top w:w="100" w:type="dxa"/>
              <w:left w:w="100" w:type="dxa"/>
              <w:bottom w:w="100" w:type="dxa"/>
              <w:right w:w="100" w:type="dxa"/>
            </w:tcMar>
          </w:tcPr>
          <w:p w14:paraId="3930395D" w14:textId="77777777" w:rsidR="00B54C0B" w:rsidRDefault="00000000">
            <w:pPr>
              <w:widowControl w:val="0"/>
              <w:spacing w:after="0" w:line="240" w:lineRule="auto"/>
              <w:jc w:val="center"/>
              <w:rPr>
                <w:sz w:val="18"/>
                <w:szCs w:val="18"/>
              </w:rPr>
            </w:pPr>
            <w:r>
              <w:rPr>
                <w:sz w:val="18"/>
                <w:szCs w:val="18"/>
              </w:rPr>
              <w:t>100%</w:t>
            </w:r>
          </w:p>
        </w:tc>
        <w:tc>
          <w:tcPr>
            <w:tcW w:w="1530" w:type="dxa"/>
            <w:tcMar>
              <w:top w:w="100" w:type="dxa"/>
              <w:left w:w="100" w:type="dxa"/>
              <w:bottom w:w="100" w:type="dxa"/>
              <w:right w:w="100" w:type="dxa"/>
            </w:tcMar>
          </w:tcPr>
          <w:p w14:paraId="0A157A95" w14:textId="77777777" w:rsidR="00B54C0B" w:rsidRDefault="00000000">
            <w:pPr>
              <w:widowControl w:val="0"/>
              <w:spacing w:after="0" w:line="240" w:lineRule="auto"/>
              <w:jc w:val="center"/>
              <w:rPr>
                <w:sz w:val="18"/>
                <w:szCs w:val="18"/>
              </w:rPr>
            </w:pPr>
            <w:r>
              <w:rPr>
                <w:sz w:val="18"/>
                <w:szCs w:val="18"/>
              </w:rPr>
              <w:t>100%</w:t>
            </w:r>
          </w:p>
        </w:tc>
        <w:tc>
          <w:tcPr>
            <w:tcW w:w="6591" w:type="dxa"/>
            <w:tcMar>
              <w:top w:w="100" w:type="dxa"/>
              <w:left w:w="100" w:type="dxa"/>
              <w:bottom w:w="100" w:type="dxa"/>
              <w:right w:w="100" w:type="dxa"/>
            </w:tcMar>
          </w:tcPr>
          <w:p w14:paraId="750C58C7" w14:textId="77777777" w:rsidR="00B54C0B" w:rsidRDefault="00000000">
            <w:pPr>
              <w:widowControl w:val="0"/>
              <w:spacing w:after="0" w:line="240" w:lineRule="auto"/>
              <w:jc w:val="both"/>
              <w:rPr>
                <w:sz w:val="18"/>
                <w:szCs w:val="18"/>
              </w:rPr>
            </w:pPr>
            <w:r>
              <w:rPr>
                <w:sz w:val="18"/>
                <w:szCs w:val="18"/>
              </w:rPr>
              <w:t>En lo corrido del Plan de Desarrollo y con corte a 30 de diciembre de 2025, se logró el 100% de avance a través de la verificación del cumplimiento de lo autorizado por la Secretaría Distrital de Movilidad a los Planes de Manejo de Tránsito PMT que generan mayor afectación a los usuarios, buscando generar el menor impacto negativo posible a la movilidad. El total acumulado del PDD corresponde a 31.334 PMT, de los cuales 17.934  son del 2025, PMT autorizados para cierre total de calzada, cierre total de andén, actividades de cargue y descargue en malla vial arterial en horario diurno, cierres de ciclorruta, cierres autorizados únicamente para el fin de semana y cierres que requieren cambios de sentido de circulación, que no corresponden a masivos, formalizaciones de emergencia y que se encontraban vigentes.</w:t>
            </w:r>
          </w:p>
        </w:tc>
      </w:tr>
      <w:tr w:rsidR="00B54C0B" w14:paraId="48198C17" w14:textId="77777777">
        <w:trPr>
          <w:trHeight w:val="420"/>
        </w:trPr>
        <w:tc>
          <w:tcPr>
            <w:tcW w:w="2565" w:type="dxa"/>
            <w:tcMar>
              <w:top w:w="100" w:type="dxa"/>
              <w:left w:w="100" w:type="dxa"/>
              <w:bottom w:w="100" w:type="dxa"/>
              <w:right w:w="100" w:type="dxa"/>
            </w:tcMar>
          </w:tcPr>
          <w:p w14:paraId="7F4CC9D9" w14:textId="77777777" w:rsidR="00B54C0B" w:rsidRDefault="00000000">
            <w:pPr>
              <w:widowControl w:val="0"/>
              <w:spacing w:after="0" w:line="240" w:lineRule="auto"/>
              <w:jc w:val="both"/>
              <w:rPr>
                <w:sz w:val="20"/>
                <w:szCs w:val="20"/>
              </w:rPr>
            </w:pPr>
            <w:r>
              <w:rPr>
                <w:sz w:val="18"/>
                <w:szCs w:val="18"/>
              </w:rPr>
              <w:t xml:space="preserve">1981. Realizar 300.000 intervenciones para mejorar las </w:t>
            </w:r>
            <w:r>
              <w:rPr>
                <w:sz w:val="18"/>
                <w:szCs w:val="18"/>
              </w:rPr>
              <w:lastRenderedPageBreak/>
              <w:t>condiciones de movilidad en los corredores y puntos estratégicos de la ciudad región</w:t>
            </w:r>
          </w:p>
        </w:tc>
        <w:tc>
          <w:tcPr>
            <w:tcW w:w="1500" w:type="dxa"/>
            <w:tcMar>
              <w:top w:w="100" w:type="dxa"/>
              <w:left w:w="100" w:type="dxa"/>
              <w:bottom w:w="100" w:type="dxa"/>
              <w:right w:w="100" w:type="dxa"/>
            </w:tcMar>
          </w:tcPr>
          <w:p w14:paraId="3FE88158" w14:textId="77777777" w:rsidR="00B54C0B" w:rsidRDefault="00000000">
            <w:pPr>
              <w:widowControl w:val="0"/>
              <w:spacing w:after="0" w:line="240" w:lineRule="auto"/>
              <w:jc w:val="center"/>
              <w:rPr>
                <w:sz w:val="18"/>
                <w:szCs w:val="18"/>
              </w:rPr>
            </w:pPr>
            <w:r>
              <w:rPr>
                <w:sz w:val="18"/>
                <w:szCs w:val="18"/>
              </w:rPr>
              <w:lastRenderedPageBreak/>
              <w:t>100.701</w:t>
            </w:r>
          </w:p>
        </w:tc>
        <w:tc>
          <w:tcPr>
            <w:tcW w:w="1245" w:type="dxa"/>
            <w:tcMar>
              <w:top w:w="100" w:type="dxa"/>
              <w:left w:w="100" w:type="dxa"/>
              <w:bottom w:w="100" w:type="dxa"/>
              <w:right w:w="100" w:type="dxa"/>
            </w:tcMar>
          </w:tcPr>
          <w:p w14:paraId="55B6DC04" w14:textId="77777777" w:rsidR="00B54C0B" w:rsidRDefault="00000000">
            <w:pPr>
              <w:widowControl w:val="0"/>
              <w:spacing w:after="0" w:line="240" w:lineRule="auto"/>
              <w:jc w:val="center"/>
              <w:rPr>
                <w:sz w:val="18"/>
                <w:szCs w:val="18"/>
              </w:rPr>
            </w:pPr>
            <w:r>
              <w:rPr>
                <w:sz w:val="18"/>
                <w:szCs w:val="18"/>
              </w:rPr>
              <w:t>100.701</w:t>
            </w:r>
          </w:p>
        </w:tc>
        <w:tc>
          <w:tcPr>
            <w:tcW w:w="1530" w:type="dxa"/>
            <w:tcMar>
              <w:top w:w="100" w:type="dxa"/>
              <w:left w:w="100" w:type="dxa"/>
              <w:bottom w:w="100" w:type="dxa"/>
              <w:right w:w="100" w:type="dxa"/>
            </w:tcMar>
          </w:tcPr>
          <w:p w14:paraId="6323777E" w14:textId="77777777" w:rsidR="00B54C0B" w:rsidRDefault="00000000">
            <w:pPr>
              <w:widowControl w:val="0"/>
              <w:spacing w:after="0" w:line="240" w:lineRule="auto"/>
              <w:jc w:val="center"/>
              <w:rPr>
                <w:sz w:val="18"/>
                <w:szCs w:val="18"/>
              </w:rPr>
            </w:pPr>
            <w:r>
              <w:rPr>
                <w:sz w:val="18"/>
                <w:szCs w:val="18"/>
              </w:rPr>
              <w:t>100%</w:t>
            </w:r>
          </w:p>
        </w:tc>
        <w:tc>
          <w:tcPr>
            <w:tcW w:w="6591" w:type="dxa"/>
            <w:tcMar>
              <w:top w:w="100" w:type="dxa"/>
              <w:left w:w="100" w:type="dxa"/>
              <w:bottom w:w="100" w:type="dxa"/>
              <w:right w:w="100" w:type="dxa"/>
            </w:tcMar>
          </w:tcPr>
          <w:p w14:paraId="62AC0825" w14:textId="77777777" w:rsidR="00B54C0B" w:rsidRDefault="00000000">
            <w:pPr>
              <w:widowControl w:val="0"/>
              <w:spacing w:after="0" w:line="240" w:lineRule="auto"/>
              <w:jc w:val="both"/>
              <w:rPr>
                <w:sz w:val="18"/>
                <w:szCs w:val="18"/>
              </w:rPr>
            </w:pPr>
            <w:r>
              <w:rPr>
                <w:sz w:val="18"/>
                <w:szCs w:val="18"/>
              </w:rPr>
              <w:t xml:space="preserve">En lo que va corrido del Plan de Desarrollo se han realizado 155.223 intervenciones en el espacio público para mejorar las condiciones de movilidad, 54.522 en 2024 y 100.701 </w:t>
            </w:r>
            <w:r>
              <w:rPr>
                <w:sz w:val="18"/>
                <w:szCs w:val="18"/>
              </w:rPr>
              <w:lastRenderedPageBreak/>
              <w:t>en 2025.</w:t>
            </w:r>
          </w:p>
          <w:p w14:paraId="7CC15871" w14:textId="77777777" w:rsidR="00B54C0B" w:rsidRDefault="00000000">
            <w:pPr>
              <w:widowControl w:val="0"/>
              <w:spacing w:after="0" w:line="240" w:lineRule="auto"/>
              <w:jc w:val="both"/>
              <w:rPr>
                <w:sz w:val="18"/>
                <w:szCs w:val="18"/>
              </w:rPr>
            </w:pPr>
            <w:r>
              <w:rPr>
                <w:sz w:val="18"/>
                <w:szCs w:val="18"/>
              </w:rPr>
              <w:t>Respecto a 2025, se llevó a cabo la programación semanal de las intervenciones para la regulación y control del tránsito y el transporte en la ciudad. Estas acciones se han ejecutado con el propósito de mitigar las problemáticas viales presentes y asegurar el cumplimiento de la legislación y normatividad vigente en materia de tránsito y transporte.</w:t>
            </w:r>
          </w:p>
          <w:p w14:paraId="206AE190" w14:textId="77777777" w:rsidR="00B54C0B" w:rsidRDefault="00000000">
            <w:pPr>
              <w:widowControl w:val="0"/>
              <w:spacing w:after="0" w:line="240" w:lineRule="auto"/>
              <w:jc w:val="both"/>
              <w:rPr>
                <w:sz w:val="18"/>
                <w:szCs w:val="18"/>
              </w:rPr>
            </w:pPr>
            <w:r>
              <w:rPr>
                <w:sz w:val="18"/>
                <w:szCs w:val="18"/>
              </w:rPr>
              <w:t>En este sentido, en la vigencia 2025 se llevaron a cabo 17.000  intervenciones adelantadas por la Policía Nacional seccional Tránsito y Transporte y agentes civiles vinculados a la entidad asociados al proyecto de inversión 8009, y 83.701  jornadas de gestión en vía adelantadas por el Grupo Operativo en Vía asociados al proyecto 8001.</w:t>
            </w:r>
          </w:p>
          <w:p w14:paraId="3F5C0430" w14:textId="77777777" w:rsidR="00B54C0B" w:rsidRDefault="00000000">
            <w:pPr>
              <w:widowControl w:val="0"/>
              <w:spacing w:after="0" w:line="240" w:lineRule="auto"/>
              <w:jc w:val="both"/>
              <w:rPr>
                <w:sz w:val="18"/>
                <w:szCs w:val="18"/>
              </w:rPr>
            </w:pPr>
            <w:r>
              <w:rPr>
                <w:sz w:val="18"/>
                <w:szCs w:val="18"/>
              </w:rPr>
              <w:t>Estas intervenciones en el espacio público de la ciudad contribuyen con la mejora en los desplazamientos, principalmente en los corredores principales o vías arteriales y en puntos estratégicos que han sido previamente identificados por presentar eventos que afectan la movilidad, y que al ser priorizados para la realización de las intervenciones tienen un gran impacto en la gestión del tránsito y por ende en las condiciones favorables para la movilidad de la ciudad.</w:t>
            </w:r>
          </w:p>
        </w:tc>
      </w:tr>
      <w:tr w:rsidR="00B54C0B" w14:paraId="4ADAF1D4" w14:textId="77777777">
        <w:trPr>
          <w:trHeight w:val="420"/>
        </w:trPr>
        <w:tc>
          <w:tcPr>
            <w:tcW w:w="2565" w:type="dxa"/>
            <w:tcMar>
              <w:top w:w="100" w:type="dxa"/>
              <w:left w:w="100" w:type="dxa"/>
              <w:bottom w:w="100" w:type="dxa"/>
              <w:right w:w="100" w:type="dxa"/>
            </w:tcMar>
          </w:tcPr>
          <w:p w14:paraId="1720225A" w14:textId="77777777" w:rsidR="00B54C0B" w:rsidRDefault="00000000">
            <w:pPr>
              <w:widowControl w:val="0"/>
              <w:spacing w:after="0" w:line="240" w:lineRule="auto"/>
              <w:jc w:val="both"/>
              <w:rPr>
                <w:sz w:val="20"/>
                <w:szCs w:val="20"/>
              </w:rPr>
            </w:pPr>
            <w:r>
              <w:rPr>
                <w:sz w:val="18"/>
                <w:szCs w:val="18"/>
              </w:rPr>
              <w:lastRenderedPageBreak/>
              <w:t>1974. Complementar con dispositivos que garanticen la accesibilidad de 361 intersecciones semafóricas que cumplan con las condiciones técnicas para tal fin</w:t>
            </w:r>
          </w:p>
        </w:tc>
        <w:tc>
          <w:tcPr>
            <w:tcW w:w="1500" w:type="dxa"/>
            <w:tcMar>
              <w:top w:w="100" w:type="dxa"/>
              <w:left w:w="100" w:type="dxa"/>
              <w:bottom w:w="100" w:type="dxa"/>
              <w:right w:w="100" w:type="dxa"/>
            </w:tcMar>
          </w:tcPr>
          <w:p w14:paraId="46D2A1EC" w14:textId="77777777" w:rsidR="00B54C0B" w:rsidRDefault="00000000">
            <w:pPr>
              <w:widowControl w:val="0"/>
              <w:spacing w:after="0" w:line="240" w:lineRule="auto"/>
              <w:jc w:val="center"/>
              <w:rPr>
                <w:sz w:val="18"/>
                <w:szCs w:val="18"/>
              </w:rPr>
            </w:pPr>
            <w:r>
              <w:rPr>
                <w:sz w:val="18"/>
                <w:szCs w:val="18"/>
              </w:rPr>
              <w:t>51</w:t>
            </w:r>
          </w:p>
        </w:tc>
        <w:tc>
          <w:tcPr>
            <w:tcW w:w="1245" w:type="dxa"/>
            <w:tcMar>
              <w:top w:w="100" w:type="dxa"/>
              <w:left w:w="100" w:type="dxa"/>
              <w:bottom w:w="100" w:type="dxa"/>
              <w:right w:w="100" w:type="dxa"/>
            </w:tcMar>
          </w:tcPr>
          <w:p w14:paraId="199AC2AA" w14:textId="77777777" w:rsidR="00B54C0B" w:rsidRDefault="00000000">
            <w:pPr>
              <w:widowControl w:val="0"/>
              <w:spacing w:after="0" w:line="240" w:lineRule="auto"/>
              <w:jc w:val="center"/>
              <w:rPr>
                <w:sz w:val="18"/>
                <w:szCs w:val="18"/>
              </w:rPr>
            </w:pPr>
            <w:r>
              <w:rPr>
                <w:sz w:val="18"/>
                <w:szCs w:val="18"/>
              </w:rPr>
              <w:t>51</w:t>
            </w:r>
          </w:p>
        </w:tc>
        <w:tc>
          <w:tcPr>
            <w:tcW w:w="1530" w:type="dxa"/>
            <w:tcMar>
              <w:top w:w="100" w:type="dxa"/>
              <w:left w:w="100" w:type="dxa"/>
              <w:bottom w:w="100" w:type="dxa"/>
              <w:right w:w="100" w:type="dxa"/>
            </w:tcMar>
          </w:tcPr>
          <w:p w14:paraId="612AA4C2" w14:textId="77777777" w:rsidR="00B54C0B" w:rsidRDefault="00000000">
            <w:pPr>
              <w:widowControl w:val="0"/>
              <w:spacing w:after="0" w:line="240" w:lineRule="auto"/>
              <w:jc w:val="center"/>
              <w:rPr>
                <w:sz w:val="18"/>
                <w:szCs w:val="18"/>
              </w:rPr>
            </w:pPr>
            <w:r>
              <w:rPr>
                <w:sz w:val="18"/>
                <w:szCs w:val="18"/>
              </w:rPr>
              <w:t>100%</w:t>
            </w:r>
          </w:p>
        </w:tc>
        <w:tc>
          <w:tcPr>
            <w:tcW w:w="6591" w:type="dxa"/>
            <w:tcMar>
              <w:top w:w="100" w:type="dxa"/>
              <w:left w:w="100" w:type="dxa"/>
              <w:bottom w:w="100" w:type="dxa"/>
              <w:right w:w="100" w:type="dxa"/>
            </w:tcMar>
          </w:tcPr>
          <w:p w14:paraId="3BFF9EBD" w14:textId="77777777" w:rsidR="00B54C0B" w:rsidRDefault="00000000">
            <w:pPr>
              <w:widowControl w:val="0"/>
              <w:spacing w:after="0" w:line="240" w:lineRule="auto"/>
              <w:jc w:val="both"/>
              <w:rPr>
                <w:sz w:val="18"/>
                <w:szCs w:val="18"/>
              </w:rPr>
            </w:pPr>
            <w:r>
              <w:rPr>
                <w:sz w:val="18"/>
                <w:szCs w:val="18"/>
              </w:rPr>
              <w:t>En lo corrido del Plan de Desarrollo se ha logrado complementar 76 intersecciones semafóricas, 34 en 2024 y 51 con corte a diciembre de 2025. A continuación, el detalle de 2025:</w:t>
            </w:r>
          </w:p>
          <w:p w14:paraId="58798097" w14:textId="77777777" w:rsidR="00B54C0B" w:rsidRDefault="00B54C0B">
            <w:pPr>
              <w:widowControl w:val="0"/>
              <w:spacing w:after="0" w:line="240" w:lineRule="auto"/>
              <w:jc w:val="both"/>
              <w:rPr>
                <w:sz w:val="18"/>
                <w:szCs w:val="18"/>
              </w:rPr>
            </w:pPr>
          </w:p>
          <w:p w14:paraId="48470915" w14:textId="77777777" w:rsidR="00B54C0B" w:rsidRDefault="00000000">
            <w:pPr>
              <w:widowControl w:val="0"/>
              <w:spacing w:after="0" w:line="240" w:lineRule="auto"/>
              <w:jc w:val="both"/>
              <w:rPr>
                <w:sz w:val="18"/>
                <w:szCs w:val="18"/>
              </w:rPr>
            </w:pPr>
            <w:r>
              <w:rPr>
                <w:sz w:val="18"/>
                <w:szCs w:val="18"/>
              </w:rPr>
              <w:t xml:space="preserve">A cargo de la  SDM (45): 3 (vehicular, peatonal), 1 (ciclista), 1 (peatonal, ciclista) - Kennedy; 1 (vehicular) - Los Mártires ; 1 (vehicular), 3 (ciclista) -Teusaquillo ; 2 (ciclista), </w:t>
            </w:r>
            <w:r>
              <w:rPr>
                <w:sz w:val="18"/>
                <w:szCs w:val="18"/>
              </w:rPr>
              <w:lastRenderedPageBreak/>
              <w:t>1 (vehicular), 1 (peatonal) - Santa fe; 1 (vehicular, peatonal), 2 (peatonal) - Engativá; 1 (ciclista), 1 (vehicular, ciclista), 3 (peatonal) - Antonio Nariño; 1 (peatonal, ciclista), 1 (peatonal), 3 (ciclista)- Tunjuelito; 2 (peatonal), 1 (ciclista), 1 (vehicular, peatonal, videodeteccion) - Bosa; 1 (vehicular BRT) - San Cristóbal; 2 (ciclista)- Rafael Uribe;  1 (ciclista) - Usaquen; 2 (vehicular, peatonal, ciclista), 2 (peatonal, ciclista), 2 (ciclista), 1 (vehicular) - Puente Aranda; 1 (ciclista) - Suba; 1 (vehicular, cicilista) - Barrios Unidos; 1 (vehicular) - Chapinero</w:t>
            </w:r>
          </w:p>
          <w:p w14:paraId="68343781" w14:textId="77777777" w:rsidR="00B54C0B" w:rsidRDefault="00000000">
            <w:pPr>
              <w:widowControl w:val="0"/>
              <w:spacing w:after="0" w:line="240" w:lineRule="auto"/>
              <w:jc w:val="both"/>
              <w:rPr>
                <w:sz w:val="18"/>
                <w:szCs w:val="18"/>
              </w:rPr>
            </w:pPr>
            <w:r>
              <w:rPr>
                <w:sz w:val="18"/>
                <w:szCs w:val="18"/>
              </w:rPr>
              <w:t xml:space="preserve">A cargo de tercero: </w:t>
            </w:r>
          </w:p>
          <w:p w14:paraId="364237A4" w14:textId="77777777" w:rsidR="00B54C0B" w:rsidRDefault="00000000">
            <w:pPr>
              <w:widowControl w:val="0"/>
              <w:spacing w:after="0" w:line="240" w:lineRule="auto"/>
              <w:jc w:val="both"/>
              <w:rPr>
                <w:sz w:val="18"/>
                <w:szCs w:val="18"/>
              </w:rPr>
            </w:pPr>
            <w:r>
              <w:rPr>
                <w:sz w:val="18"/>
                <w:szCs w:val="18"/>
              </w:rPr>
              <w:t xml:space="preserve">IDU (6): 1 (peatonal) - Tunjuelito; 1 (vehicular, peatonal) - Usme; 1 (ciclista), 2 (peatonal) y 1 (vehicular, peatonal) - Suba.     </w:t>
            </w:r>
          </w:p>
          <w:p w14:paraId="255D5803" w14:textId="77777777" w:rsidR="00B54C0B" w:rsidRDefault="00B54C0B">
            <w:pPr>
              <w:widowControl w:val="0"/>
              <w:spacing w:after="0" w:line="240" w:lineRule="auto"/>
              <w:jc w:val="both"/>
              <w:rPr>
                <w:sz w:val="18"/>
                <w:szCs w:val="18"/>
              </w:rPr>
            </w:pPr>
          </w:p>
          <w:p w14:paraId="09061EDE" w14:textId="77777777" w:rsidR="00B54C0B" w:rsidRDefault="00000000">
            <w:pPr>
              <w:widowControl w:val="0"/>
              <w:spacing w:after="0" w:line="240" w:lineRule="auto"/>
              <w:jc w:val="both"/>
              <w:rPr>
                <w:sz w:val="18"/>
                <w:szCs w:val="18"/>
              </w:rPr>
            </w:pPr>
            <w:r>
              <w:rPr>
                <w:sz w:val="18"/>
                <w:szCs w:val="18"/>
              </w:rPr>
              <w:t>Con el complemento de las intersecciones se aporta al incremento en la seguridad vial y se brinda una buena experiencia para los usuarios de los corredores viales de la ciudad.</w:t>
            </w:r>
          </w:p>
        </w:tc>
      </w:tr>
    </w:tbl>
    <w:p w14:paraId="4C7C4149" w14:textId="77777777" w:rsidR="00B54C0B" w:rsidRDefault="00000000">
      <w:r>
        <w:lastRenderedPageBreak/>
        <w:br/>
      </w:r>
    </w:p>
    <w:p w14:paraId="55E15D3E" w14:textId="77777777" w:rsidR="00B54C0B" w:rsidRDefault="00B54C0B"/>
    <w:tbl>
      <w:tblPr>
        <w:tblStyle w:val="afffffff5"/>
        <w:tblW w:w="134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1440"/>
        <w:gridCol w:w="1350"/>
        <w:gridCol w:w="1605"/>
        <w:gridCol w:w="7365"/>
      </w:tblGrid>
      <w:tr w:rsidR="00B54C0B" w14:paraId="558DCCAD" w14:textId="77777777">
        <w:trPr>
          <w:trHeight w:val="420"/>
          <w:tblHeader/>
        </w:trPr>
        <w:tc>
          <w:tcPr>
            <w:tcW w:w="13425" w:type="dxa"/>
            <w:gridSpan w:val="5"/>
            <w:shd w:val="clear" w:color="auto" w:fill="2E74B5"/>
            <w:tcMar>
              <w:top w:w="100" w:type="dxa"/>
              <w:left w:w="100" w:type="dxa"/>
              <w:bottom w:w="100" w:type="dxa"/>
              <w:right w:w="100" w:type="dxa"/>
            </w:tcMar>
          </w:tcPr>
          <w:p w14:paraId="41C2F78E" w14:textId="77777777" w:rsidR="00B54C0B" w:rsidRDefault="00000000">
            <w:pPr>
              <w:widowControl w:val="0"/>
              <w:spacing w:before="40" w:after="0" w:line="240" w:lineRule="auto"/>
              <w:jc w:val="center"/>
              <w:rPr>
                <w:color w:val="FFFFFF"/>
              </w:rPr>
            </w:pPr>
            <w:r>
              <w:rPr>
                <w:b/>
                <w:bCs/>
                <w:color w:val="FFFFFF"/>
              </w:rPr>
              <w:lastRenderedPageBreak/>
              <w:t>Objetivo Estratégico 4 - Bogotá ordena su territorio y avanza en su acción climática</w:t>
            </w:r>
          </w:p>
          <w:p w14:paraId="6F9FC8DE" w14:textId="77777777" w:rsidR="00B54C0B" w:rsidRDefault="00000000">
            <w:pPr>
              <w:widowControl w:val="0"/>
              <w:spacing w:before="40" w:after="0" w:line="240" w:lineRule="auto"/>
              <w:jc w:val="center"/>
              <w:rPr>
                <w:color w:val="FFFFFF"/>
              </w:rPr>
            </w:pPr>
            <w:r>
              <w:rPr>
                <w:color w:val="FFFFFF"/>
              </w:rPr>
              <w:t>PROGRAMA 26: Movilidad Sostenible</w:t>
            </w:r>
          </w:p>
          <w:p w14:paraId="5FE9D506" w14:textId="77777777" w:rsidR="00B54C0B" w:rsidRDefault="00000000">
            <w:pPr>
              <w:widowControl w:val="0"/>
              <w:spacing w:before="40" w:after="0" w:line="240" w:lineRule="auto"/>
              <w:rPr>
                <w:color w:val="FFFFFF"/>
                <w:sz w:val="18"/>
                <w:szCs w:val="18"/>
              </w:rPr>
            </w:pPr>
            <w:r>
              <w:rPr>
                <w:color w:val="FFFFFF"/>
                <w:sz w:val="18"/>
                <w:szCs w:val="18"/>
              </w:rPr>
              <w:t>7975: Implementación de acciones para una movilidad sostenible, segura y confiable para Bogotá D.C.</w:t>
            </w:r>
          </w:p>
          <w:p w14:paraId="289E2212" w14:textId="77777777" w:rsidR="00B54C0B" w:rsidRDefault="00000000">
            <w:pPr>
              <w:widowControl w:val="0"/>
              <w:spacing w:before="40" w:after="0" w:line="240" w:lineRule="auto"/>
              <w:rPr>
                <w:color w:val="FFFFFF"/>
                <w:sz w:val="18"/>
                <w:szCs w:val="18"/>
              </w:rPr>
            </w:pPr>
            <w:r>
              <w:rPr>
                <w:color w:val="FFFFFF"/>
                <w:sz w:val="18"/>
                <w:szCs w:val="18"/>
              </w:rPr>
              <w:t>7998: Fortalecimiento de la red de ciclo infraestructura en la ciudad de Bogotá D.C.</w:t>
            </w:r>
          </w:p>
        </w:tc>
      </w:tr>
      <w:tr w:rsidR="00B54C0B" w14:paraId="28F15A84" w14:textId="77777777">
        <w:trPr>
          <w:trHeight w:val="420"/>
        </w:trPr>
        <w:tc>
          <w:tcPr>
            <w:tcW w:w="1665" w:type="dxa"/>
            <w:shd w:val="clear" w:color="auto" w:fill="DBE5F1"/>
            <w:tcMar>
              <w:top w:w="100" w:type="dxa"/>
              <w:left w:w="100" w:type="dxa"/>
              <w:bottom w:w="100" w:type="dxa"/>
              <w:right w:w="100" w:type="dxa"/>
            </w:tcMar>
          </w:tcPr>
          <w:p w14:paraId="3BF1F545" w14:textId="77777777" w:rsidR="00B54C0B" w:rsidRDefault="00000000">
            <w:pPr>
              <w:widowControl w:val="0"/>
              <w:spacing w:after="0" w:line="240" w:lineRule="auto"/>
              <w:jc w:val="center"/>
              <w:rPr>
                <w:b/>
                <w:bCs/>
                <w:sz w:val="18"/>
                <w:szCs w:val="18"/>
              </w:rPr>
            </w:pPr>
            <w:r>
              <w:rPr>
                <w:b/>
                <w:bCs/>
                <w:sz w:val="18"/>
                <w:szCs w:val="18"/>
              </w:rPr>
              <w:t>Meta</w:t>
            </w:r>
          </w:p>
        </w:tc>
        <w:tc>
          <w:tcPr>
            <w:tcW w:w="1440" w:type="dxa"/>
            <w:shd w:val="clear" w:color="auto" w:fill="DBE5F1"/>
            <w:tcMar>
              <w:top w:w="100" w:type="dxa"/>
              <w:left w:w="100" w:type="dxa"/>
              <w:bottom w:w="100" w:type="dxa"/>
              <w:right w:w="100" w:type="dxa"/>
            </w:tcMar>
          </w:tcPr>
          <w:p w14:paraId="4C5B2B89" w14:textId="77777777" w:rsidR="00B54C0B" w:rsidRDefault="00000000">
            <w:pPr>
              <w:widowControl w:val="0"/>
              <w:spacing w:after="0" w:line="240" w:lineRule="auto"/>
              <w:jc w:val="center"/>
              <w:rPr>
                <w:b/>
                <w:bCs/>
                <w:sz w:val="18"/>
                <w:szCs w:val="18"/>
              </w:rPr>
            </w:pPr>
            <w:r>
              <w:rPr>
                <w:b/>
                <w:bCs/>
                <w:sz w:val="18"/>
                <w:szCs w:val="18"/>
              </w:rPr>
              <w:t>Magnitud</w:t>
            </w:r>
          </w:p>
          <w:p w14:paraId="60A20DF2" w14:textId="77777777" w:rsidR="00B54C0B" w:rsidRDefault="00000000">
            <w:pPr>
              <w:widowControl w:val="0"/>
              <w:spacing w:after="0" w:line="240" w:lineRule="auto"/>
              <w:jc w:val="center"/>
              <w:rPr>
                <w:b/>
                <w:bCs/>
                <w:sz w:val="18"/>
                <w:szCs w:val="18"/>
              </w:rPr>
            </w:pPr>
            <w:r>
              <w:rPr>
                <w:b/>
                <w:bCs/>
                <w:sz w:val="18"/>
                <w:szCs w:val="18"/>
              </w:rPr>
              <w:t>Programada</w:t>
            </w:r>
          </w:p>
        </w:tc>
        <w:tc>
          <w:tcPr>
            <w:tcW w:w="1350" w:type="dxa"/>
            <w:shd w:val="clear" w:color="auto" w:fill="DBE5F1"/>
            <w:tcMar>
              <w:top w:w="100" w:type="dxa"/>
              <w:left w:w="100" w:type="dxa"/>
              <w:bottom w:w="100" w:type="dxa"/>
              <w:right w:w="100" w:type="dxa"/>
            </w:tcMar>
          </w:tcPr>
          <w:p w14:paraId="43FDDB53" w14:textId="77777777" w:rsidR="00B54C0B" w:rsidRDefault="00000000">
            <w:pPr>
              <w:widowControl w:val="0"/>
              <w:spacing w:after="0" w:line="240" w:lineRule="auto"/>
              <w:jc w:val="center"/>
              <w:rPr>
                <w:b/>
                <w:bCs/>
                <w:sz w:val="18"/>
                <w:szCs w:val="18"/>
              </w:rPr>
            </w:pPr>
            <w:r>
              <w:rPr>
                <w:b/>
                <w:bCs/>
                <w:sz w:val="18"/>
                <w:szCs w:val="18"/>
              </w:rPr>
              <w:t xml:space="preserve">Magnitud </w:t>
            </w:r>
          </w:p>
          <w:p w14:paraId="7CD3D3E5" w14:textId="77777777" w:rsidR="00B54C0B" w:rsidRDefault="00000000">
            <w:pPr>
              <w:widowControl w:val="0"/>
              <w:spacing w:after="0" w:line="240" w:lineRule="auto"/>
              <w:jc w:val="center"/>
              <w:rPr>
                <w:b/>
                <w:bCs/>
                <w:sz w:val="18"/>
                <w:szCs w:val="18"/>
              </w:rPr>
            </w:pPr>
            <w:r>
              <w:rPr>
                <w:b/>
                <w:bCs/>
                <w:sz w:val="18"/>
                <w:szCs w:val="18"/>
              </w:rPr>
              <w:t>Ejecutada</w:t>
            </w:r>
          </w:p>
        </w:tc>
        <w:tc>
          <w:tcPr>
            <w:tcW w:w="1605" w:type="dxa"/>
            <w:shd w:val="clear" w:color="auto" w:fill="DBE5F1"/>
            <w:tcMar>
              <w:top w:w="100" w:type="dxa"/>
              <w:left w:w="100" w:type="dxa"/>
              <w:bottom w:w="100" w:type="dxa"/>
              <w:right w:w="100" w:type="dxa"/>
            </w:tcMar>
          </w:tcPr>
          <w:p w14:paraId="6574E2BD" w14:textId="77777777" w:rsidR="00B54C0B" w:rsidRDefault="00000000">
            <w:pPr>
              <w:widowControl w:val="0"/>
              <w:spacing w:after="0" w:line="240" w:lineRule="auto"/>
              <w:jc w:val="center"/>
              <w:rPr>
                <w:b/>
                <w:bCs/>
                <w:sz w:val="18"/>
                <w:szCs w:val="18"/>
              </w:rPr>
            </w:pPr>
            <w:r>
              <w:rPr>
                <w:b/>
                <w:bCs/>
                <w:sz w:val="18"/>
                <w:szCs w:val="18"/>
              </w:rPr>
              <w:t>% de Cumplimiento</w:t>
            </w:r>
          </w:p>
        </w:tc>
        <w:tc>
          <w:tcPr>
            <w:tcW w:w="7365" w:type="dxa"/>
            <w:shd w:val="clear" w:color="auto" w:fill="DBE5F1"/>
            <w:tcMar>
              <w:top w:w="100" w:type="dxa"/>
              <w:left w:w="100" w:type="dxa"/>
              <w:bottom w:w="100" w:type="dxa"/>
              <w:right w:w="100" w:type="dxa"/>
            </w:tcMar>
          </w:tcPr>
          <w:p w14:paraId="502B51E3" w14:textId="77777777" w:rsidR="00B54C0B" w:rsidRDefault="00000000">
            <w:pPr>
              <w:widowControl w:val="0"/>
              <w:spacing w:after="0" w:line="240" w:lineRule="auto"/>
              <w:jc w:val="center"/>
              <w:rPr>
                <w:b/>
                <w:bCs/>
                <w:sz w:val="18"/>
                <w:szCs w:val="18"/>
              </w:rPr>
            </w:pPr>
            <w:r>
              <w:rPr>
                <w:b/>
                <w:bCs/>
                <w:sz w:val="18"/>
                <w:szCs w:val="18"/>
              </w:rPr>
              <w:t>Logros, Avances y Dificultades</w:t>
            </w:r>
          </w:p>
        </w:tc>
      </w:tr>
      <w:tr w:rsidR="00B54C0B" w14:paraId="48545B57" w14:textId="77777777">
        <w:trPr>
          <w:trHeight w:val="420"/>
        </w:trPr>
        <w:tc>
          <w:tcPr>
            <w:tcW w:w="1665" w:type="dxa"/>
            <w:tcMar>
              <w:top w:w="100" w:type="dxa"/>
              <w:left w:w="100" w:type="dxa"/>
              <w:bottom w:w="100" w:type="dxa"/>
              <w:right w:w="100" w:type="dxa"/>
            </w:tcMar>
          </w:tcPr>
          <w:p w14:paraId="4E2A46C1" w14:textId="77777777" w:rsidR="00B54C0B" w:rsidRDefault="00000000">
            <w:pPr>
              <w:widowControl w:val="0"/>
              <w:spacing w:after="0" w:line="240" w:lineRule="auto"/>
              <w:rPr>
                <w:sz w:val="18"/>
                <w:szCs w:val="18"/>
              </w:rPr>
            </w:pPr>
            <w:r>
              <w:rPr>
                <w:sz w:val="18"/>
                <w:szCs w:val="18"/>
              </w:rPr>
              <w:t>2203 - Construir 59 Kilómetro(s) lineales de la red de ciclo infraestructura</w:t>
            </w:r>
          </w:p>
        </w:tc>
        <w:tc>
          <w:tcPr>
            <w:tcW w:w="1440" w:type="dxa"/>
            <w:tcMar>
              <w:top w:w="100" w:type="dxa"/>
              <w:left w:w="100" w:type="dxa"/>
              <w:bottom w:w="100" w:type="dxa"/>
              <w:right w:w="100" w:type="dxa"/>
            </w:tcMar>
          </w:tcPr>
          <w:p w14:paraId="46E93AEC" w14:textId="77777777" w:rsidR="00B54C0B" w:rsidRDefault="00000000">
            <w:pPr>
              <w:widowControl w:val="0"/>
              <w:spacing w:after="0" w:line="240" w:lineRule="auto"/>
              <w:jc w:val="center"/>
              <w:rPr>
                <w:sz w:val="18"/>
                <w:szCs w:val="18"/>
              </w:rPr>
            </w:pPr>
            <w:r>
              <w:rPr>
                <w:sz w:val="18"/>
                <w:szCs w:val="18"/>
              </w:rPr>
              <w:t>3.89</w:t>
            </w:r>
          </w:p>
        </w:tc>
        <w:tc>
          <w:tcPr>
            <w:tcW w:w="1350" w:type="dxa"/>
            <w:tcMar>
              <w:top w:w="100" w:type="dxa"/>
              <w:left w:w="100" w:type="dxa"/>
              <w:bottom w:w="100" w:type="dxa"/>
              <w:right w:w="100" w:type="dxa"/>
            </w:tcMar>
          </w:tcPr>
          <w:p w14:paraId="7C863D48" w14:textId="77777777" w:rsidR="00B54C0B" w:rsidRDefault="00000000">
            <w:pPr>
              <w:widowControl w:val="0"/>
              <w:spacing w:after="0" w:line="240" w:lineRule="auto"/>
              <w:jc w:val="center"/>
              <w:rPr>
                <w:sz w:val="18"/>
                <w:szCs w:val="18"/>
              </w:rPr>
            </w:pPr>
            <w:r>
              <w:rPr>
                <w:sz w:val="18"/>
                <w:szCs w:val="18"/>
              </w:rPr>
              <w:t>3.89</w:t>
            </w:r>
          </w:p>
        </w:tc>
        <w:tc>
          <w:tcPr>
            <w:tcW w:w="1605" w:type="dxa"/>
            <w:tcMar>
              <w:top w:w="100" w:type="dxa"/>
              <w:left w:w="100" w:type="dxa"/>
              <w:bottom w:w="100" w:type="dxa"/>
              <w:right w:w="100" w:type="dxa"/>
            </w:tcMar>
          </w:tcPr>
          <w:p w14:paraId="44E9F349" w14:textId="77777777" w:rsidR="00B54C0B" w:rsidRDefault="00000000">
            <w:pPr>
              <w:widowControl w:val="0"/>
              <w:spacing w:after="0" w:line="240" w:lineRule="auto"/>
              <w:jc w:val="center"/>
              <w:rPr>
                <w:sz w:val="18"/>
                <w:szCs w:val="18"/>
              </w:rPr>
            </w:pPr>
            <w:r>
              <w:rPr>
                <w:sz w:val="18"/>
                <w:szCs w:val="18"/>
              </w:rPr>
              <w:t>100%</w:t>
            </w:r>
          </w:p>
        </w:tc>
        <w:tc>
          <w:tcPr>
            <w:tcW w:w="7365" w:type="dxa"/>
            <w:tcMar>
              <w:top w:w="100" w:type="dxa"/>
              <w:left w:w="100" w:type="dxa"/>
              <w:bottom w:w="100" w:type="dxa"/>
              <w:right w:w="100" w:type="dxa"/>
            </w:tcMar>
          </w:tcPr>
          <w:p w14:paraId="5E27025F" w14:textId="77777777" w:rsidR="00B54C0B" w:rsidRDefault="00000000">
            <w:pPr>
              <w:widowControl w:val="0"/>
              <w:spacing w:after="0" w:line="240" w:lineRule="auto"/>
              <w:jc w:val="both"/>
              <w:rPr>
                <w:sz w:val="18"/>
                <w:szCs w:val="18"/>
              </w:rPr>
            </w:pPr>
            <w:r>
              <w:rPr>
                <w:sz w:val="18"/>
                <w:szCs w:val="18"/>
              </w:rPr>
              <w:t>En la vigencia 2024 se realizó la implementación de 1,46 km de ciclorruta, esta actividad se ejecutó en la localidad de Barrios Unidos, con la ciclorruta ubicada en KR28 ENTRE CL71 A CL71B. En el mes de julio/2025 Se adelantó implementación de 0,065 Km cicloinfraestructura en la  localidad de Barrios Unidos (KR 28 entre CL 74 y CL 74A) y 0,133 Km en la localidad de Engativá (glorieta de la CL 83A a la altura de la KR 116A).</w:t>
            </w:r>
          </w:p>
          <w:p w14:paraId="1992E1F6" w14:textId="77777777" w:rsidR="00B54C0B" w:rsidRDefault="00B54C0B">
            <w:pPr>
              <w:widowControl w:val="0"/>
              <w:spacing w:after="0" w:line="240" w:lineRule="auto"/>
              <w:jc w:val="both"/>
              <w:rPr>
                <w:sz w:val="18"/>
                <w:szCs w:val="18"/>
              </w:rPr>
            </w:pPr>
          </w:p>
          <w:p w14:paraId="32F35FFA" w14:textId="77777777" w:rsidR="00B54C0B" w:rsidRDefault="00000000">
            <w:pPr>
              <w:widowControl w:val="0"/>
              <w:spacing w:after="0" w:line="240" w:lineRule="auto"/>
              <w:jc w:val="both"/>
              <w:rPr>
                <w:sz w:val="18"/>
                <w:szCs w:val="18"/>
              </w:rPr>
            </w:pPr>
            <w:r>
              <w:rPr>
                <w:sz w:val="18"/>
                <w:szCs w:val="18"/>
              </w:rPr>
              <w:t>En la vigencia 2025 a corte de diciembre se adelantó en las  5 localidades del Distrito capital, correspondiente a 0,77 Km de cicloinfraestructura en la Localidad de Suba (AK 72 ENTRE CL 127 B BIS Y DG 128 B); 0,065 Km cicloinfraestructura en la  localidad de Barrios Unidos (ciclorruta KR 28); 0,133 Km en la localidad de Engativá (glorieta de la CL 83A a la altura de la KR 116A); 2,82 km correspondiente a la localidad de Kennedy en los tramos: KR 79 DESDE CL 40C SUR HASTA CL 38C SUR, CL 40C SUR ENTRE KR 79  HASTA KR 80 y CL 39A SUR ENTRE   KR 78N BIS HASTA KR 78N) y 0,102 km en la  localidad de La Candelaria (CL 12 A ENTRE KR 8 Y AK 7)</w:t>
            </w:r>
          </w:p>
          <w:p w14:paraId="3DB5C9D8" w14:textId="77777777" w:rsidR="00B54C0B" w:rsidRDefault="00B54C0B">
            <w:pPr>
              <w:widowControl w:val="0"/>
              <w:spacing w:after="0" w:line="240" w:lineRule="auto"/>
              <w:jc w:val="both"/>
              <w:rPr>
                <w:sz w:val="18"/>
                <w:szCs w:val="18"/>
              </w:rPr>
            </w:pPr>
          </w:p>
          <w:p w14:paraId="020D3D03" w14:textId="77777777" w:rsidR="00B54C0B" w:rsidRDefault="00000000">
            <w:pPr>
              <w:widowControl w:val="0"/>
              <w:spacing w:after="0" w:line="240" w:lineRule="auto"/>
              <w:jc w:val="both"/>
              <w:rPr>
                <w:sz w:val="18"/>
                <w:szCs w:val="18"/>
              </w:rPr>
            </w:pPr>
            <w:r>
              <w:rPr>
                <w:sz w:val="18"/>
                <w:szCs w:val="18"/>
              </w:rPr>
              <w:t xml:space="preserve">En lo que respecta a la meta relacionada con el mantenimiento de la cicloinfraestructura, se realizó el mantenimiento de 25,4  km de ciclorruta. Estas actividades se ejecutaron en 9 localidades del Distrito capital, correspondiente a  LOS MÁRTIRES (3,137 Km), en la localidad de USAQUÉN/SUBA (8,5 Km), BARRIOS UNIDOS (0,057 Km), SAN CRISTÓBAL (0,751 Km), ENGATIVÁ (6,8 km), Chapinero (5,751km) PUENTE ARANDA (0,242 km) y TEUSAQUILLO (0,17 km). </w:t>
            </w:r>
          </w:p>
          <w:p w14:paraId="50EA51E3" w14:textId="77777777" w:rsidR="00B54C0B" w:rsidRDefault="00B54C0B">
            <w:pPr>
              <w:widowControl w:val="0"/>
              <w:spacing w:after="0" w:line="240" w:lineRule="auto"/>
              <w:jc w:val="both"/>
              <w:rPr>
                <w:sz w:val="18"/>
                <w:szCs w:val="18"/>
              </w:rPr>
            </w:pPr>
          </w:p>
        </w:tc>
      </w:tr>
      <w:tr w:rsidR="00B54C0B" w14:paraId="7C282D1B" w14:textId="77777777">
        <w:trPr>
          <w:trHeight w:val="420"/>
        </w:trPr>
        <w:tc>
          <w:tcPr>
            <w:tcW w:w="1665" w:type="dxa"/>
            <w:tcMar>
              <w:top w:w="100" w:type="dxa"/>
              <w:left w:w="100" w:type="dxa"/>
              <w:bottom w:w="100" w:type="dxa"/>
              <w:right w:w="100" w:type="dxa"/>
            </w:tcMar>
          </w:tcPr>
          <w:p w14:paraId="6740FC55" w14:textId="77777777" w:rsidR="00B54C0B" w:rsidRDefault="00000000">
            <w:pPr>
              <w:widowControl w:val="0"/>
              <w:spacing w:after="0" w:line="240" w:lineRule="auto"/>
              <w:rPr>
                <w:sz w:val="18"/>
                <w:szCs w:val="18"/>
              </w:rPr>
            </w:pPr>
            <w:r>
              <w:rPr>
                <w:sz w:val="18"/>
                <w:szCs w:val="18"/>
              </w:rPr>
              <w:t xml:space="preserve">2208 - Diseñar e implementar una (1) estrategia para la promoción de </w:t>
            </w:r>
            <w:r>
              <w:rPr>
                <w:sz w:val="18"/>
                <w:szCs w:val="18"/>
              </w:rPr>
              <w:lastRenderedPageBreak/>
              <w:t>infraestructura de recarga de vehículos eléctricos en Bogotá D.C</w:t>
            </w:r>
          </w:p>
        </w:tc>
        <w:tc>
          <w:tcPr>
            <w:tcW w:w="1440" w:type="dxa"/>
            <w:tcMar>
              <w:top w:w="100" w:type="dxa"/>
              <w:left w:w="100" w:type="dxa"/>
              <w:bottom w:w="100" w:type="dxa"/>
              <w:right w:w="100" w:type="dxa"/>
            </w:tcMar>
          </w:tcPr>
          <w:p w14:paraId="431D4004" w14:textId="77777777" w:rsidR="00B54C0B" w:rsidRDefault="00000000">
            <w:pPr>
              <w:widowControl w:val="0"/>
              <w:spacing w:after="0" w:line="240" w:lineRule="auto"/>
              <w:jc w:val="center"/>
              <w:rPr>
                <w:sz w:val="18"/>
                <w:szCs w:val="18"/>
              </w:rPr>
            </w:pPr>
            <w:r>
              <w:rPr>
                <w:sz w:val="18"/>
                <w:szCs w:val="18"/>
              </w:rPr>
              <w:lastRenderedPageBreak/>
              <w:t>0.3</w:t>
            </w:r>
          </w:p>
        </w:tc>
        <w:tc>
          <w:tcPr>
            <w:tcW w:w="1350" w:type="dxa"/>
            <w:tcMar>
              <w:top w:w="100" w:type="dxa"/>
              <w:left w:w="100" w:type="dxa"/>
              <w:bottom w:w="100" w:type="dxa"/>
              <w:right w:w="100" w:type="dxa"/>
            </w:tcMar>
          </w:tcPr>
          <w:p w14:paraId="542DABF3" w14:textId="77777777" w:rsidR="00B54C0B" w:rsidRDefault="00000000">
            <w:pPr>
              <w:widowControl w:val="0"/>
              <w:spacing w:after="0" w:line="240" w:lineRule="auto"/>
              <w:jc w:val="center"/>
              <w:rPr>
                <w:sz w:val="18"/>
                <w:szCs w:val="18"/>
              </w:rPr>
            </w:pPr>
            <w:r>
              <w:rPr>
                <w:sz w:val="18"/>
                <w:szCs w:val="18"/>
              </w:rPr>
              <w:t>0.3</w:t>
            </w:r>
          </w:p>
        </w:tc>
        <w:tc>
          <w:tcPr>
            <w:tcW w:w="1605" w:type="dxa"/>
            <w:tcMar>
              <w:top w:w="100" w:type="dxa"/>
              <w:left w:w="100" w:type="dxa"/>
              <w:bottom w:w="100" w:type="dxa"/>
              <w:right w:w="100" w:type="dxa"/>
            </w:tcMar>
          </w:tcPr>
          <w:p w14:paraId="772A6297" w14:textId="77777777" w:rsidR="00B54C0B" w:rsidRDefault="00000000">
            <w:pPr>
              <w:widowControl w:val="0"/>
              <w:spacing w:after="0" w:line="240" w:lineRule="auto"/>
              <w:jc w:val="center"/>
              <w:rPr>
                <w:sz w:val="18"/>
                <w:szCs w:val="18"/>
              </w:rPr>
            </w:pPr>
            <w:r>
              <w:rPr>
                <w:sz w:val="18"/>
                <w:szCs w:val="18"/>
              </w:rPr>
              <w:t>100%</w:t>
            </w:r>
          </w:p>
        </w:tc>
        <w:tc>
          <w:tcPr>
            <w:tcW w:w="7365" w:type="dxa"/>
            <w:tcMar>
              <w:top w:w="100" w:type="dxa"/>
              <w:left w:w="100" w:type="dxa"/>
              <w:bottom w:w="100" w:type="dxa"/>
              <w:right w:w="100" w:type="dxa"/>
            </w:tcMar>
          </w:tcPr>
          <w:p w14:paraId="3015287A" w14:textId="77777777" w:rsidR="00B54C0B" w:rsidRDefault="00000000">
            <w:pPr>
              <w:widowControl w:val="0"/>
              <w:spacing w:after="0" w:line="240" w:lineRule="auto"/>
              <w:jc w:val="both"/>
              <w:rPr>
                <w:sz w:val="18"/>
                <w:szCs w:val="18"/>
              </w:rPr>
            </w:pPr>
            <w:r>
              <w:rPr>
                <w:sz w:val="18"/>
                <w:szCs w:val="18"/>
              </w:rPr>
              <w:t>A diciembre de 2025, Bogotá consolidó el 40% de su estrategia para facilitar la transición hacia vehículos eléctricos, asegurando que los ciudadanos cuenten con puntos de carga confiables en toda la ciudad. Los principales avances y logros fueron:</w:t>
            </w:r>
          </w:p>
          <w:p w14:paraId="36BEA045" w14:textId="77777777" w:rsidR="00B54C0B" w:rsidRDefault="00B54C0B">
            <w:pPr>
              <w:widowControl w:val="0"/>
              <w:spacing w:after="0" w:line="240" w:lineRule="auto"/>
              <w:jc w:val="both"/>
              <w:rPr>
                <w:sz w:val="18"/>
                <w:szCs w:val="18"/>
              </w:rPr>
            </w:pPr>
          </w:p>
          <w:p w14:paraId="4A1749A3" w14:textId="77777777" w:rsidR="00B54C0B" w:rsidRDefault="00000000">
            <w:pPr>
              <w:widowControl w:val="0"/>
              <w:spacing w:after="0" w:line="240" w:lineRule="auto"/>
              <w:jc w:val="both"/>
              <w:rPr>
                <w:sz w:val="18"/>
                <w:szCs w:val="18"/>
              </w:rPr>
            </w:pPr>
            <w:r>
              <w:rPr>
                <w:sz w:val="18"/>
                <w:szCs w:val="18"/>
              </w:rPr>
              <w:lastRenderedPageBreak/>
              <w:t>1. Mapa y diagnóstico de recarga: Se identificaron y georeferenciaron 300 estaciones de carga de acceso público, las cuales ofrecen una potencia instalada de más de 5.900 kilovatios (unidad que mide la fuerza de la energía disponible). Este inventario permitió que la ciudadanía conozca con precisión dónde puede recargar su vehículo.</w:t>
            </w:r>
          </w:p>
          <w:p w14:paraId="7A70D27F" w14:textId="77777777" w:rsidR="00B54C0B" w:rsidRDefault="00000000">
            <w:pPr>
              <w:widowControl w:val="0"/>
              <w:spacing w:after="0" w:line="240" w:lineRule="auto"/>
              <w:jc w:val="both"/>
              <w:rPr>
                <w:sz w:val="18"/>
                <w:szCs w:val="18"/>
              </w:rPr>
            </w:pPr>
            <w:r>
              <w:rPr>
                <w:sz w:val="18"/>
                <w:szCs w:val="18"/>
              </w:rPr>
              <w:t>2. Estudio de mercado de estaciones de carga: Se realizó un estudio de mercado utilizando la base de datos nacional del Ministerio de Minas y Energía. Esto permitió establecer referencias de precios para que el servicio de recarga en Bogotá sea competitivo y accesible para todos los usuarios.</w:t>
            </w:r>
          </w:p>
          <w:p w14:paraId="55483BA3" w14:textId="77777777" w:rsidR="00B54C0B" w:rsidRDefault="00000000">
            <w:pPr>
              <w:widowControl w:val="0"/>
              <w:spacing w:after="0" w:line="240" w:lineRule="auto"/>
              <w:jc w:val="both"/>
              <w:rPr>
                <w:sz w:val="18"/>
                <w:szCs w:val="18"/>
              </w:rPr>
            </w:pPr>
            <w:r>
              <w:rPr>
                <w:sz w:val="18"/>
                <w:szCs w:val="18"/>
              </w:rPr>
              <w:t>3. Uso de parques y plazas para la recarga eléctrica: En conjunto con el Instituto Distrital de Recreación y Deporte, se realizó un análisis de oportunidades  para que estaciones de carga operen en espacios públicos de manera regulada. Esto se conoce como 'aprovechamiento económico', lo que significa que el Distrito permite el uso de estos espacios a cambio de beneficios para la ciudad y un servicio de calidad para el usuario.</w:t>
            </w:r>
          </w:p>
          <w:p w14:paraId="4F24AC76" w14:textId="77777777" w:rsidR="00B54C0B" w:rsidRDefault="00000000">
            <w:pPr>
              <w:widowControl w:val="0"/>
              <w:spacing w:after="0" w:line="240" w:lineRule="auto"/>
              <w:jc w:val="both"/>
              <w:rPr>
                <w:sz w:val="18"/>
                <w:szCs w:val="18"/>
              </w:rPr>
            </w:pPr>
            <w:r>
              <w:rPr>
                <w:sz w:val="18"/>
                <w:szCs w:val="18"/>
              </w:rPr>
              <w:t>4. Operación exitosa con 'La Rolita': A través de la Operadora Distrital de Transporte, se administró la red de carga pública logrando resultados sobresalientes:</w:t>
            </w:r>
          </w:p>
          <w:p w14:paraId="4CF91950" w14:textId="77777777" w:rsidR="00B54C0B" w:rsidRDefault="00000000">
            <w:pPr>
              <w:widowControl w:val="0"/>
              <w:spacing w:after="0" w:line="240" w:lineRule="auto"/>
              <w:jc w:val="both"/>
              <w:rPr>
                <w:sz w:val="18"/>
                <w:szCs w:val="18"/>
              </w:rPr>
            </w:pPr>
            <w:r>
              <w:rPr>
                <w:sz w:val="18"/>
                <w:szCs w:val="18"/>
              </w:rPr>
              <w:t>-Se realizaron más de 130.000 recargas de vehículos.</w:t>
            </w:r>
          </w:p>
          <w:p w14:paraId="0B4CE1DD" w14:textId="77777777" w:rsidR="00B54C0B" w:rsidRDefault="00000000">
            <w:pPr>
              <w:widowControl w:val="0"/>
              <w:spacing w:after="0" w:line="240" w:lineRule="auto"/>
              <w:jc w:val="both"/>
              <w:rPr>
                <w:sz w:val="18"/>
                <w:szCs w:val="18"/>
              </w:rPr>
            </w:pPr>
            <w:r>
              <w:rPr>
                <w:sz w:val="18"/>
                <w:szCs w:val="18"/>
              </w:rPr>
              <w:t>-Se entregaron más de 3.2 millones de kilovatios-hora (unidad que mide el consumo total de energía), equivalente a miles de kilómetros recorridos sin contaminar el aire.</w:t>
            </w:r>
          </w:p>
          <w:p w14:paraId="1F819FEC" w14:textId="77777777" w:rsidR="00B54C0B" w:rsidRDefault="00000000">
            <w:pPr>
              <w:widowControl w:val="0"/>
              <w:spacing w:after="0" w:line="240" w:lineRule="auto"/>
              <w:jc w:val="both"/>
              <w:rPr>
                <w:sz w:val="18"/>
                <w:szCs w:val="18"/>
              </w:rPr>
            </w:pPr>
            <w:r>
              <w:rPr>
                <w:sz w:val="18"/>
                <w:szCs w:val="18"/>
              </w:rPr>
              <w:t>-Se alcanzó un 79% de satisfacción de los usuarios, medido a través de la aplicación móvil de recarga.</w:t>
            </w:r>
          </w:p>
          <w:p w14:paraId="4AE0E2E5" w14:textId="77777777" w:rsidR="00B54C0B" w:rsidRDefault="00000000">
            <w:pPr>
              <w:widowControl w:val="0"/>
              <w:spacing w:after="0" w:line="240" w:lineRule="auto"/>
              <w:jc w:val="both"/>
              <w:rPr>
                <w:sz w:val="18"/>
                <w:szCs w:val="18"/>
              </w:rPr>
            </w:pPr>
            <w:r>
              <w:rPr>
                <w:sz w:val="18"/>
                <w:szCs w:val="18"/>
              </w:rPr>
              <w:t>5. Regulación clara: Se expidió la Resolución 1680800 de 2025, que creó el manual oficial (protocolo) para que las empresas operen puntos de carga en vías y parques de manera organizada.</w:t>
            </w:r>
          </w:p>
          <w:p w14:paraId="306D53F1" w14:textId="77777777" w:rsidR="00B54C0B" w:rsidRDefault="00000000">
            <w:pPr>
              <w:widowControl w:val="0"/>
              <w:spacing w:after="0" w:line="240" w:lineRule="auto"/>
              <w:jc w:val="both"/>
              <w:rPr>
                <w:sz w:val="18"/>
                <w:szCs w:val="18"/>
              </w:rPr>
            </w:pPr>
            <w:r>
              <w:rPr>
                <w:sz w:val="18"/>
                <w:szCs w:val="18"/>
              </w:rPr>
              <w:t>6. Tecnología y datos en tiempo real: Se culminó la integración tecnológica con el sistema 'Enerlink', lo que permitió que la Secretaría reciba datos en tiempo real sobre el uso de los cargadores, asegurando una supervisión constante del servicio.</w:t>
            </w:r>
          </w:p>
          <w:p w14:paraId="6D3A1BD7" w14:textId="77777777" w:rsidR="00B54C0B" w:rsidRDefault="00B54C0B">
            <w:pPr>
              <w:widowControl w:val="0"/>
              <w:spacing w:after="0" w:line="240" w:lineRule="auto"/>
              <w:jc w:val="both"/>
              <w:rPr>
                <w:sz w:val="18"/>
                <w:szCs w:val="18"/>
              </w:rPr>
            </w:pPr>
          </w:p>
          <w:p w14:paraId="694AF865" w14:textId="77777777" w:rsidR="00B54C0B" w:rsidRDefault="00B54C0B">
            <w:pPr>
              <w:widowControl w:val="0"/>
              <w:spacing w:after="0" w:line="240" w:lineRule="auto"/>
              <w:jc w:val="both"/>
              <w:rPr>
                <w:sz w:val="18"/>
                <w:szCs w:val="18"/>
              </w:rPr>
            </w:pPr>
          </w:p>
        </w:tc>
      </w:tr>
      <w:tr w:rsidR="00B54C0B" w14:paraId="457EABAF" w14:textId="77777777">
        <w:trPr>
          <w:trHeight w:val="420"/>
        </w:trPr>
        <w:tc>
          <w:tcPr>
            <w:tcW w:w="1665" w:type="dxa"/>
            <w:tcMar>
              <w:top w:w="100" w:type="dxa"/>
              <w:left w:w="100" w:type="dxa"/>
              <w:bottom w:w="100" w:type="dxa"/>
              <w:right w:w="100" w:type="dxa"/>
            </w:tcMar>
          </w:tcPr>
          <w:p w14:paraId="2C574CA9" w14:textId="77777777" w:rsidR="00B54C0B" w:rsidRDefault="00000000">
            <w:pPr>
              <w:widowControl w:val="0"/>
              <w:spacing w:after="0" w:line="240" w:lineRule="auto"/>
              <w:rPr>
                <w:sz w:val="18"/>
                <w:szCs w:val="18"/>
              </w:rPr>
            </w:pPr>
            <w:r>
              <w:rPr>
                <w:sz w:val="18"/>
                <w:szCs w:val="18"/>
              </w:rPr>
              <w:lastRenderedPageBreak/>
              <w:t>2217 - Implementar 3 acciones para promover la renovación tecnológica de transporte de carga hacia una tecnología de cero y bajas emisiones</w:t>
            </w:r>
          </w:p>
        </w:tc>
        <w:tc>
          <w:tcPr>
            <w:tcW w:w="1440" w:type="dxa"/>
            <w:tcMar>
              <w:top w:w="100" w:type="dxa"/>
              <w:left w:w="100" w:type="dxa"/>
              <w:bottom w:w="100" w:type="dxa"/>
              <w:right w:w="100" w:type="dxa"/>
            </w:tcMar>
          </w:tcPr>
          <w:p w14:paraId="2C24BFF2" w14:textId="77777777" w:rsidR="00B54C0B" w:rsidRDefault="00000000">
            <w:pPr>
              <w:widowControl w:val="0"/>
              <w:spacing w:after="0" w:line="240" w:lineRule="auto"/>
              <w:jc w:val="center"/>
              <w:rPr>
                <w:sz w:val="18"/>
                <w:szCs w:val="18"/>
              </w:rPr>
            </w:pPr>
            <w:r>
              <w:rPr>
                <w:sz w:val="18"/>
                <w:szCs w:val="18"/>
              </w:rPr>
              <w:t>1</w:t>
            </w:r>
          </w:p>
        </w:tc>
        <w:tc>
          <w:tcPr>
            <w:tcW w:w="1350" w:type="dxa"/>
            <w:tcMar>
              <w:top w:w="100" w:type="dxa"/>
              <w:left w:w="100" w:type="dxa"/>
              <w:bottom w:w="100" w:type="dxa"/>
              <w:right w:w="100" w:type="dxa"/>
            </w:tcMar>
          </w:tcPr>
          <w:p w14:paraId="18E46482" w14:textId="77777777" w:rsidR="00B54C0B" w:rsidRDefault="00000000">
            <w:pPr>
              <w:widowControl w:val="0"/>
              <w:spacing w:after="0" w:line="240" w:lineRule="auto"/>
              <w:jc w:val="center"/>
              <w:rPr>
                <w:sz w:val="18"/>
                <w:szCs w:val="18"/>
              </w:rPr>
            </w:pPr>
            <w:r>
              <w:rPr>
                <w:sz w:val="18"/>
                <w:szCs w:val="18"/>
              </w:rPr>
              <w:t>1</w:t>
            </w:r>
          </w:p>
        </w:tc>
        <w:tc>
          <w:tcPr>
            <w:tcW w:w="1605" w:type="dxa"/>
            <w:tcMar>
              <w:top w:w="100" w:type="dxa"/>
              <w:left w:w="100" w:type="dxa"/>
              <w:bottom w:w="100" w:type="dxa"/>
              <w:right w:w="100" w:type="dxa"/>
            </w:tcMar>
          </w:tcPr>
          <w:p w14:paraId="0CF08E8B" w14:textId="77777777" w:rsidR="00B54C0B" w:rsidRDefault="00000000">
            <w:pPr>
              <w:widowControl w:val="0"/>
              <w:spacing w:after="0" w:line="240" w:lineRule="auto"/>
              <w:jc w:val="center"/>
              <w:rPr>
                <w:sz w:val="18"/>
                <w:szCs w:val="18"/>
              </w:rPr>
            </w:pPr>
            <w:r>
              <w:rPr>
                <w:sz w:val="18"/>
                <w:szCs w:val="18"/>
              </w:rPr>
              <w:t>100%</w:t>
            </w:r>
          </w:p>
        </w:tc>
        <w:tc>
          <w:tcPr>
            <w:tcW w:w="7365" w:type="dxa"/>
            <w:tcMar>
              <w:top w:w="100" w:type="dxa"/>
              <w:left w:w="100" w:type="dxa"/>
              <w:bottom w:w="100" w:type="dxa"/>
              <w:right w:w="100" w:type="dxa"/>
            </w:tcMar>
          </w:tcPr>
          <w:p w14:paraId="039930A2" w14:textId="77777777" w:rsidR="00B54C0B" w:rsidRDefault="00000000">
            <w:pPr>
              <w:widowControl w:val="0"/>
              <w:spacing w:after="0" w:line="240" w:lineRule="auto"/>
              <w:jc w:val="both"/>
              <w:rPr>
                <w:sz w:val="18"/>
                <w:szCs w:val="18"/>
              </w:rPr>
            </w:pPr>
            <w:r>
              <w:rPr>
                <w:sz w:val="18"/>
                <w:szCs w:val="18"/>
              </w:rPr>
              <w:t>A diciembre de 2025, la Secretaría Distrital de Movilidad cumplió con la totalidad de las acciones programadas, logrando la puesta en marcha definitiva del Fondo Distrital para la Promoción del Ascenso Tecnológico (FONCARGA). Este proyecto es una alianza estratégica entre las Secretarías de Movilidad y Ambiente para ayudar a los transportadores de carga pesada (camiones de menos de 10.5 toneladas y volquetas) a cambiar sus vehículos viejos por modelos eléctricos o de bajas emisiones.</w:t>
            </w:r>
          </w:p>
          <w:p w14:paraId="26EB6AEE" w14:textId="77777777" w:rsidR="00B54C0B" w:rsidRDefault="00000000">
            <w:pPr>
              <w:widowControl w:val="0"/>
              <w:spacing w:after="0" w:line="240" w:lineRule="auto"/>
              <w:jc w:val="both"/>
              <w:rPr>
                <w:sz w:val="18"/>
                <w:szCs w:val="18"/>
              </w:rPr>
            </w:pPr>
            <w:r>
              <w:rPr>
                <w:sz w:val="18"/>
                <w:szCs w:val="18"/>
              </w:rPr>
              <w:t>Los hitos alcanzados para activar este beneficio ciudadano fueron:</w:t>
            </w:r>
          </w:p>
          <w:p w14:paraId="3071E927" w14:textId="77777777" w:rsidR="00B54C0B" w:rsidRDefault="00000000">
            <w:pPr>
              <w:widowControl w:val="0"/>
              <w:spacing w:after="0" w:line="240" w:lineRule="auto"/>
              <w:jc w:val="both"/>
              <w:rPr>
                <w:sz w:val="18"/>
                <w:szCs w:val="18"/>
              </w:rPr>
            </w:pPr>
            <w:r>
              <w:rPr>
                <w:sz w:val="18"/>
                <w:szCs w:val="18"/>
              </w:rPr>
              <w:t>1. Respaldo Económico: Se garantizó el giro de 3.000 millones de pesos al fondo, asegurando que el dinero para los incentivos económicos de los transportadores esté disponible y protegido por una entidad financiera (Fiducia) encargada de su administración transparente.</w:t>
            </w:r>
          </w:p>
          <w:p w14:paraId="1D0A5BF4" w14:textId="77777777" w:rsidR="00B54C0B" w:rsidRDefault="00000000">
            <w:pPr>
              <w:widowControl w:val="0"/>
              <w:spacing w:after="0" w:line="240" w:lineRule="auto"/>
              <w:jc w:val="both"/>
              <w:rPr>
                <w:sz w:val="18"/>
                <w:szCs w:val="18"/>
              </w:rPr>
            </w:pPr>
            <w:r>
              <w:rPr>
                <w:sz w:val="18"/>
                <w:szCs w:val="18"/>
              </w:rPr>
              <w:t>2. Seguridad Jurídica y Operativa: Se formalizó el manual de reglas y procesos (Manual Operativo) que define cómo se entregan las ayudas, quiénes pueden participar y bajo qué condiciones técnicas, garantizando igualdad de oportunidades para todos los postulados.</w:t>
            </w:r>
          </w:p>
          <w:p w14:paraId="317670DD" w14:textId="77777777" w:rsidR="00B54C0B" w:rsidRDefault="00000000">
            <w:pPr>
              <w:widowControl w:val="0"/>
              <w:spacing w:after="0" w:line="240" w:lineRule="auto"/>
              <w:jc w:val="both"/>
              <w:rPr>
                <w:sz w:val="18"/>
                <w:szCs w:val="18"/>
              </w:rPr>
            </w:pPr>
            <w:r>
              <w:rPr>
                <w:sz w:val="18"/>
                <w:szCs w:val="18"/>
              </w:rPr>
              <w:t>3. Lanzamiento y Cercanía al Ciudadano: Tras el lanzamiento oficial en julio de 2025, se realizaron 11 jornadas de socialización con gremios y transportadores. Además, se habilitaron y capacitaron canales de atención como la Ventanilla Única de Servicios y los Centros de Atención Local para orientar a los interesados.</w:t>
            </w:r>
          </w:p>
          <w:p w14:paraId="27D4A43B" w14:textId="77777777" w:rsidR="00B54C0B" w:rsidRDefault="00000000">
            <w:pPr>
              <w:widowControl w:val="0"/>
              <w:spacing w:after="0" w:line="240" w:lineRule="auto"/>
              <w:jc w:val="both"/>
              <w:rPr>
                <w:sz w:val="18"/>
                <w:szCs w:val="18"/>
              </w:rPr>
            </w:pPr>
            <w:r>
              <w:rPr>
                <w:sz w:val="18"/>
                <w:szCs w:val="18"/>
              </w:rPr>
              <w:t>4. Resultados de Convocatoria: Gracias a estas acciones, se logró la inscripción de 103 propietarios y el inicio formal de la postulación de 13 transportadores, de los cuales 2 ya se encuentran en la fase final para recibir el apoyo para la modernización de sus vehículos.</w:t>
            </w:r>
          </w:p>
          <w:p w14:paraId="23AD2C06" w14:textId="77777777" w:rsidR="00B54C0B" w:rsidRDefault="00B54C0B">
            <w:pPr>
              <w:widowControl w:val="0"/>
              <w:spacing w:after="0" w:line="240" w:lineRule="auto"/>
              <w:jc w:val="center"/>
              <w:rPr>
                <w:sz w:val="18"/>
                <w:szCs w:val="18"/>
              </w:rPr>
            </w:pPr>
          </w:p>
        </w:tc>
      </w:tr>
      <w:tr w:rsidR="00B54C0B" w14:paraId="08DC360C" w14:textId="77777777">
        <w:trPr>
          <w:trHeight w:val="420"/>
        </w:trPr>
        <w:tc>
          <w:tcPr>
            <w:tcW w:w="1665" w:type="dxa"/>
            <w:tcMar>
              <w:top w:w="100" w:type="dxa"/>
              <w:left w:w="100" w:type="dxa"/>
              <w:bottom w:w="100" w:type="dxa"/>
              <w:right w:w="100" w:type="dxa"/>
            </w:tcMar>
          </w:tcPr>
          <w:p w14:paraId="278D39AF" w14:textId="77777777" w:rsidR="00B54C0B" w:rsidRDefault="00000000">
            <w:pPr>
              <w:widowControl w:val="0"/>
              <w:spacing w:after="0" w:line="240" w:lineRule="auto"/>
              <w:rPr>
                <w:sz w:val="18"/>
                <w:szCs w:val="18"/>
              </w:rPr>
            </w:pPr>
            <w:r>
              <w:rPr>
                <w:sz w:val="18"/>
                <w:szCs w:val="18"/>
              </w:rPr>
              <w:t xml:space="preserve">2219 implementar una estrategia para lograr que el 50% de bicicletas existentes en la ciudad, según la </w:t>
            </w:r>
            <w:r>
              <w:rPr>
                <w:sz w:val="18"/>
                <w:szCs w:val="18"/>
              </w:rPr>
              <w:lastRenderedPageBreak/>
              <w:t>EDM 2023, se registren en la plataforma de Registro obligatorio de bicicletas.</w:t>
            </w:r>
          </w:p>
        </w:tc>
        <w:tc>
          <w:tcPr>
            <w:tcW w:w="1440" w:type="dxa"/>
            <w:tcMar>
              <w:top w:w="100" w:type="dxa"/>
              <w:left w:w="100" w:type="dxa"/>
              <w:bottom w:w="100" w:type="dxa"/>
              <w:right w:w="100" w:type="dxa"/>
            </w:tcMar>
          </w:tcPr>
          <w:p w14:paraId="6FEAB1A2" w14:textId="77777777" w:rsidR="00B54C0B" w:rsidRDefault="00B54C0B">
            <w:pPr>
              <w:widowControl w:val="0"/>
              <w:spacing w:after="0" w:line="240" w:lineRule="auto"/>
              <w:jc w:val="center"/>
              <w:rPr>
                <w:sz w:val="18"/>
                <w:szCs w:val="18"/>
              </w:rPr>
            </w:pPr>
          </w:p>
        </w:tc>
        <w:tc>
          <w:tcPr>
            <w:tcW w:w="1350" w:type="dxa"/>
            <w:tcMar>
              <w:top w:w="100" w:type="dxa"/>
              <w:left w:w="100" w:type="dxa"/>
              <w:bottom w:w="100" w:type="dxa"/>
              <w:right w:w="100" w:type="dxa"/>
            </w:tcMar>
          </w:tcPr>
          <w:p w14:paraId="19AD837F" w14:textId="77777777" w:rsidR="00B54C0B" w:rsidRDefault="00B54C0B">
            <w:pPr>
              <w:widowControl w:val="0"/>
              <w:spacing w:after="0" w:line="240" w:lineRule="auto"/>
              <w:jc w:val="center"/>
              <w:rPr>
                <w:sz w:val="18"/>
                <w:szCs w:val="18"/>
              </w:rPr>
            </w:pPr>
          </w:p>
        </w:tc>
        <w:tc>
          <w:tcPr>
            <w:tcW w:w="1605" w:type="dxa"/>
            <w:tcMar>
              <w:top w:w="100" w:type="dxa"/>
              <w:left w:w="100" w:type="dxa"/>
              <w:bottom w:w="100" w:type="dxa"/>
              <w:right w:w="100" w:type="dxa"/>
            </w:tcMar>
          </w:tcPr>
          <w:p w14:paraId="309A6B7D" w14:textId="77777777" w:rsidR="00B54C0B" w:rsidRDefault="00B54C0B">
            <w:pPr>
              <w:widowControl w:val="0"/>
              <w:spacing w:after="0" w:line="240" w:lineRule="auto"/>
              <w:jc w:val="center"/>
              <w:rPr>
                <w:sz w:val="18"/>
                <w:szCs w:val="18"/>
              </w:rPr>
            </w:pPr>
          </w:p>
        </w:tc>
        <w:tc>
          <w:tcPr>
            <w:tcW w:w="7365" w:type="dxa"/>
            <w:tcMar>
              <w:top w:w="100" w:type="dxa"/>
              <w:left w:w="100" w:type="dxa"/>
              <w:bottom w:w="100" w:type="dxa"/>
              <w:right w:w="100" w:type="dxa"/>
            </w:tcMar>
          </w:tcPr>
          <w:p w14:paraId="2F1A77C6" w14:textId="77777777" w:rsidR="00B54C0B" w:rsidRDefault="00000000">
            <w:pPr>
              <w:widowControl w:val="0"/>
              <w:spacing w:after="0" w:line="240" w:lineRule="auto"/>
              <w:jc w:val="both"/>
              <w:rPr>
                <w:sz w:val="18"/>
                <w:szCs w:val="18"/>
              </w:rPr>
            </w:pPr>
            <w:r>
              <w:rPr>
                <w:sz w:val="18"/>
                <w:szCs w:val="18"/>
              </w:rPr>
              <w:t>A diciembre de 2025, la ciudad alcanzó un hito histórico en la formalización de la propiedad no motorizada, logrando que 514.060 bicicletas cuenten con su registro oficial. Esta cifra representa el 45,28% del total de bicicletas identificadas en la ciudad según la Encuesta de Movilidad de 2023, situando a Bogotá muy cerca de cumplir su meta del cuatrienio.</w:t>
            </w:r>
          </w:p>
          <w:p w14:paraId="2571A6D8" w14:textId="77777777" w:rsidR="00B54C0B" w:rsidRDefault="00000000">
            <w:pPr>
              <w:widowControl w:val="0"/>
              <w:spacing w:after="0" w:line="240" w:lineRule="auto"/>
              <w:jc w:val="both"/>
              <w:rPr>
                <w:sz w:val="18"/>
                <w:szCs w:val="18"/>
              </w:rPr>
            </w:pPr>
            <w:r>
              <w:rPr>
                <w:sz w:val="18"/>
                <w:szCs w:val="18"/>
              </w:rPr>
              <w:t>La estrategia, que reporta un avance acumulado del 40% en su ejecución, se consolidó mediante cuatro ejes operativos y regulatorios que facilitaron el acceso de la ciudadanía al trámite:</w:t>
            </w:r>
          </w:p>
          <w:p w14:paraId="141A83FD" w14:textId="77777777" w:rsidR="00B54C0B" w:rsidRDefault="00000000">
            <w:pPr>
              <w:widowControl w:val="0"/>
              <w:spacing w:after="0" w:line="240" w:lineRule="auto"/>
              <w:jc w:val="both"/>
              <w:rPr>
                <w:sz w:val="18"/>
                <w:szCs w:val="18"/>
              </w:rPr>
            </w:pPr>
            <w:r>
              <w:rPr>
                <w:sz w:val="18"/>
                <w:szCs w:val="18"/>
              </w:rPr>
              <w:lastRenderedPageBreak/>
              <w:t>1. Integración con el Transporte Público: Se estableció el registro como un requisito para el uso de los cicloparqueaderos en las estaciones de TransMilenio. Esta medida, vigente desde finales de 2024, permitió que el registro dejara de ser un trámite aislado para convertirse en una herramienta necesaria para la integración de viajes entre la bicicleta y el bus.</w:t>
            </w:r>
          </w:p>
          <w:p w14:paraId="58463A61" w14:textId="77777777" w:rsidR="00B54C0B" w:rsidRDefault="00000000">
            <w:pPr>
              <w:widowControl w:val="0"/>
              <w:spacing w:after="0" w:line="240" w:lineRule="auto"/>
              <w:jc w:val="both"/>
              <w:rPr>
                <w:sz w:val="18"/>
                <w:szCs w:val="18"/>
              </w:rPr>
            </w:pPr>
            <w:r>
              <w:rPr>
                <w:sz w:val="18"/>
                <w:szCs w:val="18"/>
              </w:rPr>
              <w:t>2. Presencia Masiva en Territorio: Se ejecutaron 469 jornadas presenciales de registro (361 en vía pública y 108 en espacios cerrados como estaciones y empresas). Dentro de estas acciones, destacaron las 'Registratones' masivas y nocturnas, que permitieron a los ciclistas registrar sus vehículos en horarios flexibles y puntos estratégicos de alta circulación.</w:t>
            </w:r>
          </w:p>
          <w:p w14:paraId="193A814B" w14:textId="77777777" w:rsidR="00B54C0B" w:rsidRDefault="00000000">
            <w:pPr>
              <w:widowControl w:val="0"/>
              <w:spacing w:after="0" w:line="240" w:lineRule="auto"/>
              <w:jc w:val="both"/>
              <w:rPr>
                <w:sz w:val="18"/>
                <w:szCs w:val="18"/>
              </w:rPr>
            </w:pPr>
            <w:r>
              <w:rPr>
                <w:sz w:val="18"/>
                <w:szCs w:val="18"/>
              </w:rPr>
              <w:t>3. Alianza con el Sector Comercial y Educativo: Se realizaron 285 visitas técnicas a almacenes y talleres de bicicletas para capacitar a los comerciantes como promotores del registro. Asimismo, se acompañó la certificación de 22 estacionamientos de bicicletas con sellos de calidad, donde el registro fue el eje central de la cultura de seguridad.</w:t>
            </w:r>
          </w:p>
          <w:p w14:paraId="747EDCDB" w14:textId="77777777" w:rsidR="00B54C0B" w:rsidRDefault="00000000">
            <w:pPr>
              <w:widowControl w:val="0"/>
              <w:spacing w:after="0" w:line="240" w:lineRule="auto"/>
              <w:jc w:val="both"/>
              <w:rPr>
                <w:sz w:val="18"/>
                <w:szCs w:val="18"/>
              </w:rPr>
            </w:pPr>
            <w:r>
              <w:rPr>
                <w:sz w:val="18"/>
                <w:szCs w:val="18"/>
              </w:rPr>
              <w:t>4. Soporte y Atención Ciudadana: Se garantizó el acompañamiento técnico a los usuarios mediante la resolución de más de 4.600 solicitudes enviadas por correo electrónico, asegurando que los ciudadanos superaran cualquier dificultad técnica en el proceso de inscripción digital.</w:t>
            </w:r>
          </w:p>
          <w:p w14:paraId="41EBA9C1" w14:textId="77777777" w:rsidR="00B54C0B" w:rsidRDefault="00B54C0B">
            <w:pPr>
              <w:widowControl w:val="0"/>
              <w:spacing w:after="0" w:line="240" w:lineRule="auto"/>
              <w:jc w:val="both"/>
              <w:rPr>
                <w:sz w:val="18"/>
                <w:szCs w:val="18"/>
              </w:rPr>
            </w:pPr>
          </w:p>
        </w:tc>
      </w:tr>
      <w:tr w:rsidR="00B54C0B" w14:paraId="25DCA342" w14:textId="77777777">
        <w:trPr>
          <w:trHeight w:val="1587"/>
        </w:trPr>
        <w:tc>
          <w:tcPr>
            <w:tcW w:w="1665" w:type="dxa"/>
            <w:tcMar>
              <w:top w:w="100" w:type="dxa"/>
              <w:left w:w="100" w:type="dxa"/>
              <w:bottom w:w="100" w:type="dxa"/>
              <w:right w:w="100" w:type="dxa"/>
            </w:tcMar>
          </w:tcPr>
          <w:p w14:paraId="0312112D" w14:textId="77777777" w:rsidR="00B54C0B" w:rsidRDefault="00000000">
            <w:pPr>
              <w:widowControl w:val="0"/>
              <w:spacing w:after="0" w:line="240" w:lineRule="auto"/>
              <w:rPr>
                <w:sz w:val="18"/>
                <w:szCs w:val="18"/>
              </w:rPr>
            </w:pPr>
            <w:r>
              <w:rPr>
                <w:sz w:val="18"/>
                <w:szCs w:val="18"/>
              </w:rPr>
              <w:lastRenderedPageBreak/>
              <w:t>2223 lograr 9.200.000 viajes en modos sostenibles en un día hábil entre semana en Bogotá</w:t>
            </w:r>
          </w:p>
        </w:tc>
        <w:tc>
          <w:tcPr>
            <w:tcW w:w="1440" w:type="dxa"/>
            <w:tcMar>
              <w:top w:w="100" w:type="dxa"/>
              <w:left w:w="100" w:type="dxa"/>
              <w:bottom w:w="100" w:type="dxa"/>
              <w:right w:w="100" w:type="dxa"/>
            </w:tcMar>
          </w:tcPr>
          <w:p w14:paraId="6729A245" w14:textId="77777777" w:rsidR="00B54C0B" w:rsidRDefault="00000000">
            <w:pPr>
              <w:widowControl w:val="0"/>
              <w:spacing w:after="0" w:line="240" w:lineRule="auto"/>
              <w:jc w:val="center"/>
              <w:rPr>
                <w:sz w:val="18"/>
                <w:szCs w:val="18"/>
              </w:rPr>
            </w:pPr>
            <w:r>
              <w:rPr>
                <w:sz w:val="18"/>
                <w:szCs w:val="18"/>
              </w:rPr>
              <w:t>8452084</w:t>
            </w:r>
          </w:p>
        </w:tc>
        <w:tc>
          <w:tcPr>
            <w:tcW w:w="1350" w:type="dxa"/>
            <w:tcMar>
              <w:top w:w="100" w:type="dxa"/>
              <w:left w:w="100" w:type="dxa"/>
              <w:bottom w:w="100" w:type="dxa"/>
              <w:right w:w="100" w:type="dxa"/>
            </w:tcMar>
          </w:tcPr>
          <w:p w14:paraId="43431061" w14:textId="77777777" w:rsidR="00B54C0B" w:rsidRDefault="00000000">
            <w:pPr>
              <w:widowControl w:val="0"/>
              <w:spacing w:after="0" w:line="240" w:lineRule="auto"/>
              <w:jc w:val="center"/>
              <w:rPr>
                <w:sz w:val="18"/>
                <w:szCs w:val="18"/>
              </w:rPr>
            </w:pPr>
            <w:r>
              <w:rPr>
                <w:sz w:val="18"/>
                <w:szCs w:val="18"/>
              </w:rPr>
              <w:t>8452084</w:t>
            </w:r>
          </w:p>
        </w:tc>
        <w:tc>
          <w:tcPr>
            <w:tcW w:w="1605" w:type="dxa"/>
            <w:tcMar>
              <w:top w:w="100" w:type="dxa"/>
              <w:left w:w="100" w:type="dxa"/>
              <w:bottom w:w="100" w:type="dxa"/>
              <w:right w:w="100" w:type="dxa"/>
            </w:tcMar>
          </w:tcPr>
          <w:p w14:paraId="7ED82583" w14:textId="77777777" w:rsidR="00B54C0B" w:rsidRDefault="00000000">
            <w:pPr>
              <w:widowControl w:val="0"/>
              <w:spacing w:after="0" w:line="240" w:lineRule="auto"/>
              <w:jc w:val="center"/>
              <w:rPr>
                <w:sz w:val="18"/>
                <w:szCs w:val="18"/>
              </w:rPr>
            </w:pPr>
            <w:r>
              <w:rPr>
                <w:sz w:val="18"/>
                <w:szCs w:val="18"/>
              </w:rPr>
              <w:t>0%</w:t>
            </w:r>
          </w:p>
          <w:p w14:paraId="45240F58" w14:textId="77777777" w:rsidR="00B54C0B" w:rsidRDefault="00000000">
            <w:pPr>
              <w:widowControl w:val="0"/>
              <w:spacing w:after="0" w:line="240" w:lineRule="auto"/>
              <w:jc w:val="center"/>
              <w:rPr>
                <w:sz w:val="18"/>
                <w:szCs w:val="18"/>
              </w:rPr>
            </w:pPr>
            <w:r>
              <w:rPr>
                <w:sz w:val="18"/>
                <w:szCs w:val="18"/>
              </w:rPr>
              <w:t>**Reporte de LB</w:t>
            </w:r>
          </w:p>
        </w:tc>
        <w:tc>
          <w:tcPr>
            <w:tcW w:w="7365" w:type="dxa"/>
            <w:tcMar>
              <w:top w:w="100" w:type="dxa"/>
              <w:left w:w="100" w:type="dxa"/>
              <w:bottom w:w="100" w:type="dxa"/>
              <w:right w:w="100" w:type="dxa"/>
            </w:tcMar>
          </w:tcPr>
          <w:p w14:paraId="136D8D72" w14:textId="77777777" w:rsidR="00B54C0B" w:rsidRDefault="00000000">
            <w:pPr>
              <w:widowControl w:val="0"/>
              <w:spacing w:after="0" w:line="240" w:lineRule="auto"/>
              <w:jc w:val="both"/>
              <w:rPr>
                <w:sz w:val="18"/>
                <w:szCs w:val="18"/>
              </w:rPr>
            </w:pPr>
            <w:r>
              <w:rPr>
                <w:sz w:val="18"/>
                <w:szCs w:val="18"/>
              </w:rPr>
              <w:t>Con el fin de aumentar los viajes en modos sostenibles en la ciudad de Bogotá, con corte a diciembre de 2025 se lograron los siguientes avances:</w:t>
            </w:r>
          </w:p>
          <w:p w14:paraId="6CD80629" w14:textId="77777777" w:rsidR="00B54C0B" w:rsidRDefault="00000000">
            <w:pPr>
              <w:widowControl w:val="0"/>
              <w:spacing w:after="0" w:line="240" w:lineRule="auto"/>
              <w:jc w:val="both"/>
              <w:rPr>
                <w:sz w:val="18"/>
                <w:szCs w:val="18"/>
              </w:rPr>
            </w:pPr>
            <w:r>
              <w:rPr>
                <w:sz w:val="18"/>
                <w:szCs w:val="18"/>
              </w:rPr>
              <w:t>1. Acciones para fomentar el uso y disfrute de los viajes en bicicleta y del peatón:</w:t>
            </w:r>
          </w:p>
          <w:p w14:paraId="36713221" w14:textId="77777777" w:rsidR="00B54C0B" w:rsidRDefault="00000000">
            <w:pPr>
              <w:widowControl w:val="0"/>
              <w:spacing w:after="0" w:line="240" w:lineRule="auto"/>
              <w:jc w:val="both"/>
              <w:rPr>
                <w:sz w:val="18"/>
                <w:szCs w:val="18"/>
              </w:rPr>
            </w:pPr>
            <w:r>
              <w:rPr>
                <w:sz w:val="18"/>
                <w:szCs w:val="18"/>
              </w:rPr>
              <w:t xml:space="preserve">•Se estructuró la estrategia de circuitos peatonales como una iniciativa de conectividad y rutas seguras para el desplazamiento peatonal. En 2025 se elaboraron los documentos técnicos para los circuitos peatonales de Sierra Morena y Zona Rosa y se dio inicio a la intervención en Sierra Morena. </w:t>
            </w:r>
          </w:p>
          <w:p w14:paraId="2F9CF0BC" w14:textId="77777777" w:rsidR="00B54C0B" w:rsidRDefault="00000000">
            <w:pPr>
              <w:widowControl w:val="0"/>
              <w:spacing w:after="0" w:line="240" w:lineRule="auto"/>
              <w:jc w:val="both"/>
              <w:rPr>
                <w:sz w:val="18"/>
                <w:szCs w:val="18"/>
              </w:rPr>
            </w:pPr>
            <w:r>
              <w:rPr>
                <w:sz w:val="18"/>
                <w:szCs w:val="18"/>
              </w:rPr>
              <w:t>•Se realizaron más de 1.89 millones de nuevos viajes en el Sistema de Bicicletas Compartidas entre julio de 2024 y diciembre de 2025 para un acumulado de más de 4,42 millones de viajes desde el inicio de operación en el 2022</w:t>
            </w:r>
          </w:p>
          <w:p w14:paraId="32CC207C" w14:textId="77777777" w:rsidR="00B54C0B" w:rsidRDefault="00000000">
            <w:pPr>
              <w:widowControl w:val="0"/>
              <w:spacing w:after="0" w:line="240" w:lineRule="auto"/>
              <w:jc w:val="both"/>
              <w:rPr>
                <w:sz w:val="18"/>
                <w:szCs w:val="18"/>
              </w:rPr>
            </w:pPr>
            <w:r>
              <w:rPr>
                <w:sz w:val="18"/>
                <w:szCs w:val="18"/>
              </w:rPr>
              <w:t>•Se logró ampliar la red de estacionamientos de micromovilidad en más de 14.550 cupos, para un acumulado de más de 84.100 cupos.</w:t>
            </w:r>
          </w:p>
          <w:p w14:paraId="5C06F3C3" w14:textId="77777777" w:rsidR="00B54C0B" w:rsidRDefault="00000000">
            <w:pPr>
              <w:widowControl w:val="0"/>
              <w:spacing w:after="0" w:line="240" w:lineRule="auto"/>
              <w:jc w:val="both"/>
              <w:rPr>
                <w:sz w:val="18"/>
                <w:szCs w:val="18"/>
              </w:rPr>
            </w:pPr>
            <w:r>
              <w:rPr>
                <w:sz w:val="18"/>
                <w:szCs w:val="18"/>
              </w:rPr>
              <w:lastRenderedPageBreak/>
              <w:t>•En las vigencias 2024 y 2025 se llevaron a cabo las “Semana de la Bicicleta”, promoviendo así en la ciudad el uso de la bicicleta como medio de transporte sostenible; la Semana de la Bicicleta 2025 contó con más de 30 actividades en 16 localidades.</w:t>
            </w:r>
          </w:p>
          <w:p w14:paraId="11C25AF5" w14:textId="77777777" w:rsidR="00B54C0B" w:rsidRDefault="00000000">
            <w:pPr>
              <w:widowControl w:val="0"/>
              <w:spacing w:after="0" w:line="240" w:lineRule="auto"/>
              <w:jc w:val="both"/>
              <w:rPr>
                <w:sz w:val="18"/>
                <w:szCs w:val="18"/>
              </w:rPr>
            </w:pPr>
            <w:r>
              <w:rPr>
                <w:sz w:val="18"/>
                <w:szCs w:val="18"/>
              </w:rPr>
              <w:t>2. Acciones para racionalizar el uso del vehículo particular en la ciudad y promover el uso de modos de viaje sostenibles:</w:t>
            </w:r>
          </w:p>
          <w:p w14:paraId="682817AF" w14:textId="77777777" w:rsidR="00B54C0B" w:rsidRDefault="00000000">
            <w:pPr>
              <w:widowControl w:val="0"/>
              <w:spacing w:after="0" w:line="240" w:lineRule="auto"/>
              <w:jc w:val="both"/>
              <w:rPr>
                <w:sz w:val="18"/>
                <w:szCs w:val="18"/>
              </w:rPr>
            </w:pPr>
            <w:r>
              <w:rPr>
                <w:sz w:val="18"/>
                <w:szCs w:val="18"/>
              </w:rPr>
              <w:t>•Por parte de la Red Muévete Mejor, se aprobaron 45 Planes Integrales de Movilidad Sostenible, se llevaron a cabo 26 eventos/actividades, donde asistieron más de 1.300 personas.</w:t>
            </w:r>
          </w:p>
          <w:p w14:paraId="652174A1" w14:textId="77777777" w:rsidR="00B54C0B" w:rsidRDefault="00000000">
            <w:pPr>
              <w:widowControl w:val="0"/>
              <w:spacing w:after="0" w:line="240" w:lineRule="auto"/>
              <w:jc w:val="both"/>
              <w:rPr>
                <w:sz w:val="18"/>
                <w:szCs w:val="18"/>
              </w:rPr>
            </w:pPr>
            <w:r>
              <w:rPr>
                <w:sz w:val="18"/>
                <w:szCs w:val="18"/>
              </w:rPr>
              <w:t>• Las organizaciones reportaron 274.088 viajes en bicicleta en los días de la movilidad sostenible de cada mes hasta noviembre 2025.</w:t>
            </w:r>
          </w:p>
          <w:p w14:paraId="4F843F72" w14:textId="77777777" w:rsidR="00B54C0B" w:rsidRDefault="00000000">
            <w:pPr>
              <w:widowControl w:val="0"/>
              <w:spacing w:after="0" w:line="240" w:lineRule="auto"/>
              <w:jc w:val="both"/>
              <w:rPr>
                <w:sz w:val="18"/>
                <w:szCs w:val="18"/>
              </w:rPr>
            </w:pPr>
            <w:r>
              <w:rPr>
                <w:sz w:val="18"/>
                <w:szCs w:val="18"/>
              </w:rPr>
              <w:t>• La Red de Logística urbana realizó 37 eventos/actividades con asistencia de más de 1530 personas.</w:t>
            </w:r>
          </w:p>
          <w:p w14:paraId="1F82D507" w14:textId="77777777" w:rsidR="00B54C0B" w:rsidRDefault="00000000">
            <w:pPr>
              <w:widowControl w:val="0"/>
              <w:spacing w:after="0" w:line="240" w:lineRule="auto"/>
              <w:jc w:val="both"/>
              <w:rPr>
                <w:sz w:val="18"/>
                <w:szCs w:val="18"/>
              </w:rPr>
            </w:pPr>
            <w:r>
              <w:rPr>
                <w:sz w:val="18"/>
                <w:szCs w:val="18"/>
              </w:rPr>
              <w:t>3. Acciones para el fortalecimiento y operación del transporte público masivo, para mejorar la experiencia del usuario y promover su uso.</w:t>
            </w:r>
          </w:p>
          <w:p w14:paraId="7933347F" w14:textId="77777777" w:rsidR="00B54C0B" w:rsidRDefault="00000000">
            <w:pPr>
              <w:widowControl w:val="0"/>
              <w:spacing w:after="0" w:line="240" w:lineRule="auto"/>
              <w:jc w:val="both"/>
              <w:rPr>
                <w:sz w:val="18"/>
                <w:szCs w:val="18"/>
              </w:rPr>
            </w:pPr>
            <w:r>
              <w:rPr>
                <w:sz w:val="18"/>
                <w:szCs w:val="18"/>
              </w:rPr>
              <w:t>•Se optimizó la operación zonal con carriles preferenciales en las carreras 13 y 7, logrando mejorar la velocidad en 14% y reducir los tiempos de viaje en hasta 8 minutos en el carril preferencial de la Carrera 7, y en 4 minutos en la Carrera 13.</w:t>
            </w:r>
          </w:p>
          <w:p w14:paraId="3C71ECDD" w14:textId="77777777" w:rsidR="00B54C0B" w:rsidRDefault="00000000">
            <w:pPr>
              <w:widowControl w:val="0"/>
              <w:spacing w:after="0" w:line="240" w:lineRule="auto"/>
              <w:jc w:val="both"/>
              <w:rPr>
                <w:sz w:val="18"/>
                <w:szCs w:val="18"/>
              </w:rPr>
            </w:pPr>
            <w:r>
              <w:rPr>
                <w:sz w:val="18"/>
                <w:szCs w:val="18"/>
              </w:rPr>
              <w:t>•Se verificó la implementación de los lineamientos de paraderos accesibles, mediante 689 visitas a paraderos del SITP</w:t>
            </w:r>
          </w:p>
          <w:p w14:paraId="7998B685" w14:textId="77777777" w:rsidR="00B54C0B" w:rsidRDefault="00000000">
            <w:pPr>
              <w:widowControl w:val="0"/>
              <w:spacing w:after="0" w:line="240" w:lineRule="auto"/>
              <w:jc w:val="both"/>
              <w:rPr>
                <w:sz w:val="18"/>
                <w:szCs w:val="18"/>
              </w:rPr>
            </w:pPr>
            <w:r>
              <w:rPr>
                <w:sz w:val="18"/>
                <w:szCs w:val="18"/>
              </w:rPr>
              <w:t>•Se realizaron visitas a 186 paraderos de rutas de transporte intermunicipal, para identificar las condiciones de operación y así establecer acciones de mejora</w:t>
            </w:r>
          </w:p>
          <w:p w14:paraId="729EFD28" w14:textId="77777777" w:rsidR="00B54C0B" w:rsidRDefault="00000000">
            <w:pPr>
              <w:widowControl w:val="0"/>
              <w:spacing w:after="0" w:line="240" w:lineRule="auto"/>
              <w:jc w:val="both"/>
              <w:rPr>
                <w:sz w:val="18"/>
                <w:szCs w:val="18"/>
              </w:rPr>
            </w:pPr>
            <w:r>
              <w:rPr>
                <w:sz w:val="18"/>
                <w:szCs w:val="18"/>
              </w:rPr>
              <w:t>•Para garantizar la operación del Sistema Integrado de Transporte Público, se realizó la revisión, gestión y seguimiento a solicitudes de recursos del Fondo de Estabilización Tarifaria</w:t>
            </w:r>
          </w:p>
          <w:p w14:paraId="5862D6A6" w14:textId="77777777" w:rsidR="00B54C0B" w:rsidRDefault="00000000">
            <w:pPr>
              <w:widowControl w:val="0"/>
              <w:spacing w:after="0" w:line="240" w:lineRule="auto"/>
              <w:jc w:val="both"/>
              <w:rPr>
                <w:sz w:val="18"/>
                <w:szCs w:val="18"/>
              </w:rPr>
            </w:pPr>
            <w:r>
              <w:rPr>
                <w:sz w:val="18"/>
                <w:szCs w:val="18"/>
              </w:rPr>
              <w:t>4.Micro modelación: Se evaluó el impacto en las condiciones de tránsito ante la inclusión de infraestructura ciclística en múltiples tramos y sectores de la ciudad con el objetivo de analizar alternativas para la priorización de la movilidad de los actores más vulnerables de la vía:  peatones y ciclistas.</w:t>
            </w:r>
          </w:p>
          <w:p w14:paraId="62D18687" w14:textId="77777777" w:rsidR="00B54C0B" w:rsidRDefault="00000000">
            <w:pPr>
              <w:widowControl w:val="0"/>
              <w:spacing w:after="0" w:line="240" w:lineRule="auto"/>
              <w:jc w:val="both"/>
              <w:rPr>
                <w:sz w:val="18"/>
                <w:szCs w:val="18"/>
              </w:rPr>
            </w:pPr>
            <w:r>
              <w:rPr>
                <w:sz w:val="18"/>
                <w:szCs w:val="18"/>
              </w:rPr>
              <w:t xml:space="preserve">5. Macro modelación: Se evaluaron diferentes escenarios ante la entrada en operación de proyectos de infraestructura de transporte público y desarrollo urbano en diferentes zonas de la </w:t>
            </w:r>
            <w:r>
              <w:rPr>
                <w:sz w:val="18"/>
                <w:szCs w:val="18"/>
              </w:rPr>
              <w:lastRenderedPageBreak/>
              <w:t>ciudad. Además, se revisó la evolución de viajes en modos sostenibles con el uso de las matrices origen destino construidas a partir de datos de telefonía celular.</w:t>
            </w:r>
          </w:p>
          <w:p w14:paraId="1B22DC49" w14:textId="77777777" w:rsidR="00B54C0B" w:rsidRDefault="00B54C0B">
            <w:pPr>
              <w:widowControl w:val="0"/>
              <w:spacing w:after="0" w:line="240" w:lineRule="auto"/>
              <w:jc w:val="both"/>
              <w:rPr>
                <w:sz w:val="18"/>
                <w:szCs w:val="18"/>
              </w:rPr>
            </w:pPr>
          </w:p>
          <w:p w14:paraId="23699DEF" w14:textId="77777777" w:rsidR="00B54C0B" w:rsidRDefault="00B54C0B">
            <w:pPr>
              <w:widowControl w:val="0"/>
              <w:spacing w:after="0" w:line="240" w:lineRule="auto"/>
              <w:jc w:val="both"/>
              <w:rPr>
                <w:sz w:val="18"/>
                <w:szCs w:val="18"/>
              </w:rPr>
            </w:pPr>
          </w:p>
        </w:tc>
      </w:tr>
    </w:tbl>
    <w:p w14:paraId="1C6FCEC1" w14:textId="77777777" w:rsidR="00B54C0B" w:rsidRDefault="00B54C0B"/>
    <w:p w14:paraId="085B894D" w14:textId="77777777" w:rsidR="00B54C0B" w:rsidRDefault="00B54C0B"/>
    <w:tbl>
      <w:tblPr>
        <w:tblStyle w:val="afffffff6"/>
        <w:tblW w:w="1343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1500"/>
        <w:gridCol w:w="1245"/>
        <w:gridCol w:w="1530"/>
        <w:gridCol w:w="6591"/>
      </w:tblGrid>
      <w:tr w:rsidR="00B54C0B" w14:paraId="45247870" w14:textId="77777777">
        <w:trPr>
          <w:trHeight w:val="420"/>
          <w:tblHeader/>
        </w:trPr>
        <w:tc>
          <w:tcPr>
            <w:tcW w:w="13431" w:type="dxa"/>
            <w:gridSpan w:val="5"/>
            <w:shd w:val="clear" w:color="auto" w:fill="2E74B5"/>
            <w:tcMar>
              <w:top w:w="100" w:type="dxa"/>
              <w:left w:w="100" w:type="dxa"/>
              <w:bottom w:w="100" w:type="dxa"/>
              <w:right w:w="100" w:type="dxa"/>
            </w:tcMar>
          </w:tcPr>
          <w:p w14:paraId="3AAEF184" w14:textId="77777777" w:rsidR="00B54C0B" w:rsidRDefault="00000000">
            <w:pPr>
              <w:widowControl w:val="0"/>
              <w:spacing w:before="40" w:after="0" w:line="240" w:lineRule="auto"/>
              <w:jc w:val="center"/>
              <w:rPr>
                <w:color w:val="FFFFFF"/>
              </w:rPr>
            </w:pPr>
            <w:r>
              <w:rPr>
                <w:b/>
                <w:bCs/>
                <w:color w:val="FFFFFF"/>
              </w:rPr>
              <w:t>Objetivo estratégico 5 - Bogotá confía en su gobierno</w:t>
            </w:r>
          </w:p>
          <w:p w14:paraId="647424AD" w14:textId="77777777" w:rsidR="00B54C0B" w:rsidRDefault="00000000">
            <w:pPr>
              <w:widowControl w:val="0"/>
              <w:spacing w:before="40" w:after="0" w:line="240" w:lineRule="auto"/>
              <w:jc w:val="center"/>
              <w:rPr>
                <w:color w:val="FFFFFF"/>
              </w:rPr>
            </w:pPr>
            <w:r>
              <w:rPr>
                <w:color w:val="FFFFFF"/>
              </w:rPr>
              <w:t>PROGRAMA 33:  Fortalecimiento institucional para un gobierno confiable</w:t>
            </w:r>
          </w:p>
          <w:p w14:paraId="56AFE4E0" w14:textId="77777777" w:rsidR="00B54C0B" w:rsidRDefault="00000000">
            <w:pPr>
              <w:widowControl w:val="0"/>
              <w:spacing w:before="40" w:after="0" w:line="240" w:lineRule="auto"/>
              <w:rPr>
                <w:color w:val="FFFFFF"/>
                <w:sz w:val="18"/>
                <w:szCs w:val="18"/>
              </w:rPr>
            </w:pPr>
            <w:r>
              <w:rPr>
                <w:color w:val="FFFFFF"/>
                <w:sz w:val="18"/>
                <w:szCs w:val="18"/>
              </w:rPr>
              <w:t>7969 Mejoramiento en la gestión de las acciones de transparencia e integridad de la Secretaría Distrital de Movilidad en Bogotá D.C</w:t>
            </w:r>
          </w:p>
          <w:p w14:paraId="34EC5206" w14:textId="77777777" w:rsidR="00B54C0B" w:rsidRDefault="00000000">
            <w:pPr>
              <w:widowControl w:val="0"/>
              <w:spacing w:before="40" w:after="0" w:line="240" w:lineRule="auto"/>
              <w:rPr>
                <w:color w:val="FFFFFF"/>
                <w:sz w:val="18"/>
                <w:szCs w:val="18"/>
              </w:rPr>
            </w:pPr>
            <w:r>
              <w:rPr>
                <w:color w:val="FFFFFF"/>
                <w:sz w:val="18"/>
                <w:szCs w:val="18"/>
              </w:rPr>
              <w:t>7982 Mejoramiento y mantenimiento de los servicios de TI asociados a la infraestructura tecnológica operacional de la Secretaría Distrital de Movilidad de Bogotá D.C.</w:t>
            </w:r>
          </w:p>
          <w:p w14:paraId="69137230" w14:textId="77777777" w:rsidR="00B54C0B" w:rsidRDefault="00000000">
            <w:pPr>
              <w:widowControl w:val="0"/>
              <w:spacing w:before="40" w:after="0" w:line="240" w:lineRule="auto"/>
              <w:rPr>
                <w:color w:val="FFFFFF"/>
                <w:sz w:val="18"/>
                <w:szCs w:val="18"/>
              </w:rPr>
            </w:pPr>
            <w:r>
              <w:rPr>
                <w:color w:val="FFFFFF"/>
                <w:sz w:val="18"/>
                <w:szCs w:val="18"/>
              </w:rPr>
              <w:t>7985 Consolidación del trabajo colaborativo y apoyo institucional en la Secretaría Distrital de Movilidad de</w:t>
            </w:r>
          </w:p>
          <w:p w14:paraId="2A109C9E" w14:textId="77777777" w:rsidR="00B54C0B" w:rsidRDefault="00000000">
            <w:pPr>
              <w:widowControl w:val="0"/>
              <w:spacing w:before="40" w:after="0" w:line="240" w:lineRule="auto"/>
              <w:rPr>
                <w:color w:val="FFFFFF"/>
                <w:sz w:val="18"/>
                <w:szCs w:val="18"/>
              </w:rPr>
            </w:pPr>
            <w:r>
              <w:rPr>
                <w:color w:val="FFFFFF"/>
                <w:sz w:val="18"/>
                <w:szCs w:val="18"/>
              </w:rPr>
              <w:t>Bogotá D.C.</w:t>
            </w:r>
          </w:p>
          <w:p w14:paraId="5A551291" w14:textId="77777777" w:rsidR="00B54C0B" w:rsidRDefault="00000000">
            <w:pPr>
              <w:widowControl w:val="0"/>
              <w:spacing w:before="40" w:after="0" w:line="240" w:lineRule="auto"/>
              <w:rPr>
                <w:color w:val="FFFFFF"/>
                <w:sz w:val="18"/>
                <w:szCs w:val="18"/>
              </w:rPr>
            </w:pPr>
            <w:r>
              <w:rPr>
                <w:color w:val="FFFFFF"/>
                <w:sz w:val="18"/>
                <w:szCs w:val="18"/>
              </w:rPr>
              <w:t>7994 Fortalecimiento de la Gestión Jurídica en la Secretaría Distrital de Movilidad de Bogotá D.C.</w:t>
            </w:r>
          </w:p>
          <w:p w14:paraId="0CB63539" w14:textId="77777777" w:rsidR="00B54C0B" w:rsidRDefault="00B54C0B">
            <w:pPr>
              <w:widowControl w:val="0"/>
              <w:spacing w:after="0" w:line="240" w:lineRule="auto"/>
              <w:jc w:val="both"/>
              <w:rPr>
                <w:sz w:val="20"/>
                <w:szCs w:val="20"/>
              </w:rPr>
            </w:pPr>
          </w:p>
        </w:tc>
      </w:tr>
      <w:tr w:rsidR="00B54C0B" w14:paraId="0CFC9F2F" w14:textId="77777777">
        <w:trPr>
          <w:trHeight w:val="420"/>
        </w:trPr>
        <w:tc>
          <w:tcPr>
            <w:tcW w:w="2565" w:type="dxa"/>
            <w:shd w:val="clear" w:color="auto" w:fill="DBE5F1"/>
            <w:tcMar>
              <w:top w:w="100" w:type="dxa"/>
              <w:left w:w="100" w:type="dxa"/>
              <w:bottom w:w="100" w:type="dxa"/>
              <w:right w:w="100" w:type="dxa"/>
            </w:tcMar>
          </w:tcPr>
          <w:p w14:paraId="232D4B63" w14:textId="77777777" w:rsidR="00B54C0B" w:rsidRDefault="00000000">
            <w:pPr>
              <w:widowControl w:val="0"/>
              <w:spacing w:after="0" w:line="240" w:lineRule="auto"/>
              <w:jc w:val="center"/>
              <w:rPr>
                <w:b/>
                <w:bCs/>
                <w:sz w:val="18"/>
                <w:szCs w:val="18"/>
              </w:rPr>
            </w:pPr>
            <w:r>
              <w:rPr>
                <w:b/>
                <w:bCs/>
                <w:sz w:val="18"/>
                <w:szCs w:val="18"/>
              </w:rPr>
              <w:t>Meta</w:t>
            </w:r>
          </w:p>
        </w:tc>
        <w:tc>
          <w:tcPr>
            <w:tcW w:w="1500" w:type="dxa"/>
            <w:shd w:val="clear" w:color="auto" w:fill="DBE5F1"/>
            <w:tcMar>
              <w:top w:w="100" w:type="dxa"/>
              <w:left w:w="100" w:type="dxa"/>
              <w:bottom w:w="100" w:type="dxa"/>
              <w:right w:w="100" w:type="dxa"/>
            </w:tcMar>
          </w:tcPr>
          <w:p w14:paraId="1BB1E19E" w14:textId="77777777" w:rsidR="00B54C0B" w:rsidRDefault="00000000">
            <w:pPr>
              <w:widowControl w:val="0"/>
              <w:spacing w:after="0" w:line="240" w:lineRule="auto"/>
              <w:jc w:val="center"/>
              <w:rPr>
                <w:b/>
                <w:bCs/>
                <w:sz w:val="18"/>
                <w:szCs w:val="18"/>
              </w:rPr>
            </w:pPr>
            <w:r>
              <w:rPr>
                <w:b/>
                <w:bCs/>
                <w:sz w:val="18"/>
                <w:szCs w:val="18"/>
              </w:rPr>
              <w:t>Magnitud</w:t>
            </w:r>
          </w:p>
          <w:p w14:paraId="12293D46" w14:textId="77777777" w:rsidR="00B54C0B" w:rsidRDefault="00000000">
            <w:pPr>
              <w:widowControl w:val="0"/>
              <w:spacing w:after="0" w:line="240" w:lineRule="auto"/>
              <w:jc w:val="center"/>
              <w:rPr>
                <w:b/>
                <w:bCs/>
                <w:sz w:val="18"/>
                <w:szCs w:val="18"/>
              </w:rPr>
            </w:pPr>
            <w:r>
              <w:rPr>
                <w:b/>
                <w:bCs/>
                <w:sz w:val="18"/>
                <w:szCs w:val="18"/>
              </w:rPr>
              <w:t>Programada</w:t>
            </w:r>
          </w:p>
        </w:tc>
        <w:tc>
          <w:tcPr>
            <w:tcW w:w="1245" w:type="dxa"/>
            <w:shd w:val="clear" w:color="auto" w:fill="DBE5F1"/>
            <w:tcMar>
              <w:top w:w="100" w:type="dxa"/>
              <w:left w:w="100" w:type="dxa"/>
              <w:bottom w:w="100" w:type="dxa"/>
              <w:right w:w="100" w:type="dxa"/>
            </w:tcMar>
          </w:tcPr>
          <w:p w14:paraId="532055DC" w14:textId="77777777" w:rsidR="00B54C0B" w:rsidRDefault="00000000">
            <w:pPr>
              <w:widowControl w:val="0"/>
              <w:spacing w:after="0" w:line="240" w:lineRule="auto"/>
              <w:jc w:val="center"/>
              <w:rPr>
                <w:b/>
                <w:bCs/>
                <w:sz w:val="18"/>
                <w:szCs w:val="18"/>
              </w:rPr>
            </w:pPr>
            <w:r>
              <w:rPr>
                <w:b/>
                <w:bCs/>
                <w:sz w:val="18"/>
                <w:szCs w:val="18"/>
              </w:rPr>
              <w:t xml:space="preserve">Magnitud </w:t>
            </w:r>
          </w:p>
          <w:p w14:paraId="1A8AB1F0" w14:textId="77777777" w:rsidR="00B54C0B" w:rsidRDefault="00000000">
            <w:pPr>
              <w:widowControl w:val="0"/>
              <w:spacing w:after="0" w:line="240" w:lineRule="auto"/>
              <w:jc w:val="center"/>
              <w:rPr>
                <w:b/>
                <w:bCs/>
                <w:sz w:val="18"/>
                <w:szCs w:val="18"/>
              </w:rPr>
            </w:pPr>
            <w:r>
              <w:rPr>
                <w:b/>
                <w:bCs/>
                <w:sz w:val="18"/>
                <w:szCs w:val="18"/>
              </w:rPr>
              <w:t>Ejecutada</w:t>
            </w:r>
          </w:p>
        </w:tc>
        <w:tc>
          <w:tcPr>
            <w:tcW w:w="1530" w:type="dxa"/>
            <w:shd w:val="clear" w:color="auto" w:fill="DBE5F1"/>
            <w:tcMar>
              <w:top w:w="100" w:type="dxa"/>
              <w:left w:w="100" w:type="dxa"/>
              <w:bottom w:w="100" w:type="dxa"/>
              <w:right w:w="100" w:type="dxa"/>
            </w:tcMar>
          </w:tcPr>
          <w:p w14:paraId="55D915EF" w14:textId="77777777" w:rsidR="00B54C0B" w:rsidRDefault="00000000">
            <w:pPr>
              <w:widowControl w:val="0"/>
              <w:spacing w:after="0" w:line="240" w:lineRule="auto"/>
              <w:jc w:val="center"/>
              <w:rPr>
                <w:b/>
                <w:bCs/>
                <w:sz w:val="18"/>
                <w:szCs w:val="18"/>
              </w:rPr>
            </w:pPr>
            <w:r>
              <w:rPr>
                <w:b/>
                <w:bCs/>
                <w:sz w:val="18"/>
                <w:szCs w:val="18"/>
              </w:rPr>
              <w:t>% de Cumplimiento</w:t>
            </w:r>
          </w:p>
        </w:tc>
        <w:tc>
          <w:tcPr>
            <w:tcW w:w="6591" w:type="dxa"/>
            <w:shd w:val="clear" w:color="auto" w:fill="DBE5F1"/>
            <w:tcMar>
              <w:top w:w="100" w:type="dxa"/>
              <w:left w:w="100" w:type="dxa"/>
              <w:bottom w:w="100" w:type="dxa"/>
              <w:right w:w="100" w:type="dxa"/>
            </w:tcMar>
          </w:tcPr>
          <w:p w14:paraId="042B5230" w14:textId="77777777" w:rsidR="00B54C0B" w:rsidRDefault="00000000">
            <w:pPr>
              <w:widowControl w:val="0"/>
              <w:spacing w:after="0" w:line="240" w:lineRule="auto"/>
              <w:jc w:val="center"/>
              <w:rPr>
                <w:b/>
                <w:bCs/>
                <w:sz w:val="18"/>
                <w:szCs w:val="18"/>
              </w:rPr>
            </w:pPr>
            <w:r>
              <w:rPr>
                <w:b/>
                <w:bCs/>
                <w:sz w:val="18"/>
                <w:szCs w:val="18"/>
              </w:rPr>
              <w:t>Logros, Avances y Dificultades</w:t>
            </w:r>
          </w:p>
        </w:tc>
      </w:tr>
      <w:tr w:rsidR="00B54C0B" w14:paraId="7557F29C" w14:textId="77777777">
        <w:trPr>
          <w:trHeight w:val="2417"/>
        </w:trPr>
        <w:tc>
          <w:tcPr>
            <w:tcW w:w="2565" w:type="dxa"/>
            <w:tcMar>
              <w:top w:w="100" w:type="dxa"/>
              <w:left w:w="100" w:type="dxa"/>
              <w:bottom w:w="100" w:type="dxa"/>
              <w:right w:w="100" w:type="dxa"/>
            </w:tcMar>
          </w:tcPr>
          <w:p w14:paraId="527373D6" w14:textId="77777777" w:rsidR="00B54C0B" w:rsidRDefault="00000000">
            <w:pPr>
              <w:widowControl w:val="0"/>
              <w:spacing w:after="0" w:line="240" w:lineRule="auto"/>
              <w:rPr>
                <w:sz w:val="18"/>
                <w:szCs w:val="18"/>
              </w:rPr>
            </w:pPr>
            <w:r>
              <w:rPr>
                <w:sz w:val="18"/>
                <w:szCs w:val="18"/>
              </w:rPr>
              <w:lastRenderedPageBreak/>
              <w:t>2286 - Desarrollar el 100 % de la estrategia de mejora y sostenibilidad del Modelo Integrado De Planeación y Gestión - Mipg en las entidades del Sector Movilidad</w:t>
            </w:r>
          </w:p>
          <w:p w14:paraId="322FC790" w14:textId="77777777" w:rsidR="00B54C0B" w:rsidRDefault="00B54C0B">
            <w:pPr>
              <w:widowControl w:val="0"/>
              <w:spacing w:after="0" w:line="240" w:lineRule="auto"/>
              <w:rPr>
                <w:sz w:val="18"/>
                <w:szCs w:val="18"/>
              </w:rPr>
            </w:pPr>
          </w:p>
        </w:tc>
        <w:tc>
          <w:tcPr>
            <w:tcW w:w="1500" w:type="dxa"/>
            <w:tcMar>
              <w:top w:w="100" w:type="dxa"/>
              <w:left w:w="100" w:type="dxa"/>
              <w:bottom w:w="100" w:type="dxa"/>
              <w:right w:w="100" w:type="dxa"/>
            </w:tcMar>
          </w:tcPr>
          <w:p w14:paraId="6E07AB96" w14:textId="77777777" w:rsidR="00B54C0B" w:rsidRDefault="00000000">
            <w:pPr>
              <w:widowControl w:val="0"/>
              <w:spacing w:after="0" w:line="240" w:lineRule="auto"/>
              <w:jc w:val="center"/>
              <w:rPr>
                <w:sz w:val="18"/>
                <w:szCs w:val="18"/>
              </w:rPr>
            </w:pPr>
            <w:r>
              <w:rPr>
                <w:sz w:val="18"/>
                <w:szCs w:val="18"/>
              </w:rPr>
              <w:t>100%</w:t>
            </w:r>
          </w:p>
        </w:tc>
        <w:tc>
          <w:tcPr>
            <w:tcW w:w="1245" w:type="dxa"/>
            <w:tcMar>
              <w:top w:w="100" w:type="dxa"/>
              <w:left w:w="100" w:type="dxa"/>
              <w:bottom w:w="100" w:type="dxa"/>
              <w:right w:w="100" w:type="dxa"/>
            </w:tcMar>
          </w:tcPr>
          <w:p w14:paraId="374E9640" w14:textId="77777777" w:rsidR="00B54C0B" w:rsidRDefault="00000000">
            <w:pPr>
              <w:widowControl w:val="0"/>
              <w:spacing w:after="0" w:line="240" w:lineRule="auto"/>
              <w:jc w:val="center"/>
              <w:rPr>
                <w:sz w:val="18"/>
                <w:szCs w:val="18"/>
              </w:rPr>
            </w:pPr>
            <w:r>
              <w:rPr>
                <w:sz w:val="18"/>
                <w:szCs w:val="18"/>
              </w:rPr>
              <w:t>100%</w:t>
            </w:r>
          </w:p>
        </w:tc>
        <w:tc>
          <w:tcPr>
            <w:tcW w:w="1530" w:type="dxa"/>
            <w:tcMar>
              <w:top w:w="100" w:type="dxa"/>
              <w:left w:w="100" w:type="dxa"/>
              <w:bottom w:w="100" w:type="dxa"/>
              <w:right w:w="100" w:type="dxa"/>
            </w:tcMar>
          </w:tcPr>
          <w:p w14:paraId="5CE6D95C" w14:textId="77777777" w:rsidR="00B54C0B" w:rsidRDefault="00000000">
            <w:pPr>
              <w:widowControl w:val="0"/>
              <w:spacing w:after="0" w:line="240" w:lineRule="auto"/>
              <w:jc w:val="center"/>
              <w:rPr>
                <w:sz w:val="18"/>
                <w:szCs w:val="18"/>
              </w:rPr>
            </w:pPr>
            <w:r>
              <w:rPr>
                <w:sz w:val="18"/>
                <w:szCs w:val="18"/>
              </w:rPr>
              <w:t>100%</w:t>
            </w:r>
          </w:p>
        </w:tc>
        <w:tc>
          <w:tcPr>
            <w:tcW w:w="6591" w:type="dxa"/>
            <w:tcMar>
              <w:top w:w="100" w:type="dxa"/>
              <w:left w:w="100" w:type="dxa"/>
              <w:bottom w:w="100" w:type="dxa"/>
              <w:right w:w="100" w:type="dxa"/>
            </w:tcMar>
          </w:tcPr>
          <w:p w14:paraId="1F2D7C89" w14:textId="77777777" w:rsidR="00B54C0B" w:rsidRDefault="00000000">
            <w:pPr>
              <w:widowControl w:val="0"/>
              <w:spacing w:before="240" w:after="240" w:line="240" w:lineRule="auto"/>
              <w:jc w:val="both"/>
              <w:rPr>
                <w:sz w:val="18"/>
                <w:szCs w:val="18"/>
              </w:rPr>
            </w:pPr>
            <w:r>
              <w:rPr>
                <w:sz w:val="18"/>
                <w:szCs w:val="18"/>
              </w:rPr>
              <w:t>En el marco del Plan de Desarrollo Distrital, la Secretaría Distrital de Movilidad (SDM) consolidó durante la vigencia 2025 avances significativos en la implementación, sostenibilidad y madurez del Modelo Integrado de Planeación y Gestión (MIPG), reafirmando su compromiso con la eficiencia administrativa, la calidad institucional, la transparencia y la generación de valor público. Durante el periodo, se fortaleció la apropiación del modelo mediante actividades pedagógicas orientadas a la cultura de gestión institucional y se adelantó la auditoría de seguimiento a la certificación del Sistema de Gestión de la Calidad bajo la norma ISO 9001:2015, con resultados altamente favorables, evidenciando el funcionamiento eficaz del sistema y el enfoque permanente en la mejora continua.</w:t>
            </w:r>
          </w:p>
          <w:p w14:paraId="2F0F4CA4" w14:textId="77777777" w:rsidR="00B54C0B" w:rsidRDefault="00000000">
            <w:pPr>
              <w:widowControl w:val="0"/>
              <w:pBdr>
                <w:top w:val="nil"/>
                <w:left w:val="nil"/>
                <w:bottom w:val="nil"/>
                <w:right w:val="nil"/>
                <w:between w:val="nil"/>
              </w:pBdr>
              <w:spacing w:before="240" w:after="240" w:line="240" w:lineRule="auto"/>
              <w:jc w:val="both"/>
              <w:rPr>
                <w:sz w:val="18"/>
                <w:szCs w:val="18"/>
              </w:rPr>
            </w:pPr>
            <w:r>
              <w:rPr>
                <w:sz w:val="18"/>
                <w:szCs w:val="18"/>
              </w:rPr>
              <w:t>Los resultados del Formulario Único de Reporte de Avance en la Gestión (FURAG), en el cual se alcanzó un 98,89 %, reflejaron un desempeño alto y sostenido, confirmando la solidez administrativa y técnica de la Entidad, así como el fortalecimiento de una cultura organizacional basada en la calidad, la transparencia y la excelencia en la gestión pública. Como resultado del análisis del avance del MIPG y en articulación con el equipo técnico institucional, se definieron los lineamientos para la formulación y ajuste de los planes</w:t>
            </w:r>
            <w:r>
              <w:rPr>
                <w:rFonts w:ascii="Arial" w:eastAsia="Arial" w:hAnsi="Arial" w:cs="Arial"/>
                <w:sz w:val="18"/>
                <w:szCs w:val="18"/>
              </w:rPr>
              <w:t xml:space="preserve"> </w:t>
            </w:r>
            <w:r>
              <w:rPr>
                <w:sz w:val="18"/>
                <w:szCs w:val="18"/>
              </w:rPr>
              <w:t>institucionales, orientados a garantizar la alineación estratégica, la eficiencia en la gestión y una respuesta oportuna a las necesidades de la ciudadanía usuaria de los trámites y servicios de la SDM.</w:t>
            </w:r>
          </w:p>
          <w:p w14:paraId="78FC043E" w14:textId="77777777" w:rsidR="00B54C0B" w:rsidRDefault="00000000">
            <w:pPr>
              <w:widowControl w:val="0"/>
              <w:pBdr>
                <w:top w:val="nil"/>
                <w:left w:val="nil"/>
                <w:bottom w:val="nil"/>
                <w:right w:val="nil"/>
                <w:between w:val="nil"/>
              </w:pBdr>
              <w:spacing w:before="240" w:after="240" w:line="240" w:lineRule="auto"/>
              <w:jc w:val="both"/>
              <w:rPr>
                <w:sz w:val="18"/>
                <w:szCs w:val="18"/>
              </w:rPr>
            </w:pPr>
            <w:r>
              <w:rPr>
                <w:sz w:val="18"/>
                <w:szCs w:val="18"/>
              </w:rPr>
              <w:t xml:space="preserve">En lo relacionado con el componente tecnológico, se evidenció el cumplimiento de la </w:t>
            </w:r>
            <w:r>
              <w:rPr>
                <w:sz w:val="18"/>
                <w:szCs w:val="18"/>
              </w:rPr>
              <w:lastRenderedPageBreak/>
              <w:t>ejecución contractual conforme a lo planeado, con la formalización de contratos estratégicos asociados al operador tecnológico, licenciamiento de Aranda, Oracle Linux y Microsoft, servicios de conectividad, almacenamiento NAS, herramientas de analítica Power BI, fábrica de software y WSING. Estas acciones fortalecieron la infraestructura tecnológica, garantizaron la continuidad operativa, optimizaron la gestión de activos y robustecieron las capacidades de desarrollo y analítica, asegurando la sostenibilidad de los servicios tecnológicos que soportan los procesos misionales de la Entidad.</w:t>
            </w:r>
          </w:p>
          <w:p w14:paraId="773BC877" w14:textId="77777777" w:rsidR="00B54C0B" w:rsidRDefault="00000000">
            <w:pPr>
              <w:widowControl w:val="0"/>
              <w:pBdr>
                <w:top w:val="nil"/>
                <w:left w:val="nil"/>
                <w:bottom w:val="nil"/>
                <w:right w:val="nil"/>
                <w:between w:val="nil"/>
              </w:pBdr>
              <w:spacing w:before="240" w:after="240" w:line="240" w:lineRule="auto"/>
              <w:jc w:val="both"/>
              <w:rPr>
                <w:sz w:val="18"/>
                <w:szCs w:val="18"/>
              </w:rPr>
            </w:pPr>
            <w:r>
              <w:rPr>
                <w:sz w:val="18"/>
                <w:szCs w:val="18"/>
              </w:rPr>
              <w:t>En cumplimiento de los indicadores del Plan de Desarrollo, se implementaron acciones orientadas al fortalecimiento institucional y a la consolidación de la cultura organizacional, en concordancia con los lineamientos del MIPG. Se desarrollaron estrategias de integridad y transparencia, destacándose la implementación de la “Liga de Integridad” y actividades pedagógicas como el Sketch de Integridad, así como acciones de comunicación interna para la apropiación de los valores institucionales en las diferentes sedes de la SDM. Asimismo, la Entidad participó activamente en las estrategias lideradas por la Secretaría General, orientadas a la rendición de cuentas, la prevención de la corrupción y la gestión del riesgo, mediante la aplicación de metodologías para la identificación y priorización de riesgos de corrupción, fortaleciendo el Mapa de Riesgos y sus controles asociados.</w:t>
            </w:r>
          </w:p>
          <w:p w14:paraId="4B866681" w14:textId="77777777" w:rsidR="00B54C0B" w:rsidRDefault="00000000">
            <w:pPr>
              <w:widowControl w:val="0"/>
              <w:spacing w:before="240" w:after="240" w:line="240" w:lineRule="auto"/>
              <w:jc w:val="both"/>
              <w:rPr>
                <w:sz w:val="18"/>
                <w:szCs w:val="18"/>
              </w:rPr>
            </w:pPr>
            <w:r>
              <w:rPr>
                <w:sz w:val="18"/>
                <w:szCs w:val="18"/>
              </w:rPr>
              <w:t xml:space="preserve">De manera complementaria, se realizó seguimiento permanente al Plan de Transparencia e Integridad (PTEP) a través del monitoreo mensual en el aplicativo DARUMA, garantizando el registro oportuno, el control y el avance de las acciones </w:t>
            </w:r>
            <w:r>
              <w:rPr>
                <w:sz w:val="18"/>
                <w:szCs w:val="18"/>
              </w:rPr>
              <w:lastRenderedPageBreak/>
              <w:t>programadas, lo cual aporta directamente a la sostenibilidad del MIPG en el Sector Movilidad. En materia de transparencia, la SDM dio continuidad a la implementación y mantenimiento del Sistema de Gestión Antisoborno (SGAS), ejecutando de forma sostenida las acciones definidas para su operación y mejora, fortaleciendo la prevención del soborno, la integridad institucional y la confianza ciudadana.</w:t>
            </w:r>
          </w:p>
          <w:p w14:paraId="7E1744A4" w14:textId="77777777" w:rsidR="00B54C0B" w:rsidRDefault="00000000">
            <w:pPr>
              <w:widowControl w:val="0"/>
              <w:spacing w:before="240" w:after="240" w:line="240" w:lineRule="auto"/>
              <w:jc w:val="both"/>
              <w:rPr>
                <w:rFonts w:ascii="Arial" w:eastAsia="Arial" w:hAnsi="Arial" w:cs="Arial"/>
                <w:sz w:val="18"/>
                <w:szCs w:val="18"/>
              </w:rPr>
            </w:pPr>
            <w:r>
              <w:rPr>
                <w:sz w:val="18"/>
                <w:szCs w:val="18"/>
              </w:rPr>
              <w:t>Durante la vigencia 2025, el proceso de Control y Evaluación de la Gestión cumplió integralmente con los cinco roles establecidos en el Decreto 648 de 2017 —liderazgo estratégico, enfoque preventivo, evaluación de la gestión del riesgo, relación con los entes de control y evaluación y seguimiento— con el apalancamiento de la segunda línea de defensa. A través del Plan Anual de Auditoría Interna (PAAI), se ejecutó el 100 % de las actividades programadas, incluyendo informes de ley, seguimientos y evaluaciones, fortaleciendo el control interno, la transparencia y la rendición de cuentas de la Entidad.</w:t>
            </w:r>
          </w:p>
          <w:p w14:paraId="5DB1495A" w14:textId="77777777" w:rsidR="00B54C0B" w:rsidRDefault="00000000">
            <w:pPr>
              <w:widowControl w:val="0"/>
              <w:spacing w:before="240" w:after="240" w:line="240" w:lineRule="auto"/>
              <w:jc w:val="both"/>
              <w:rPr>
                <w:sz w:val="18"/>
                <w:szCs w:val="18"/>
              </w:rPr>
            </w:pPr>
            <w:r>
              <w:rPr>
                <w:sz w:val="18"/>
                <w:szCs w:val="18"/>
              </w:rPr>
              <w:t xml:space="preserve">Adicionalmente, en el proceso de Gestión Jurídica se avanzó en la gestión contractual, atendiendo 491 procesos de selección y 9.601 contratos de prestación de servicios, asegurando la continuidad de las funciones misionales y capacitando a los actores en temas estratégicos del proceso contractual. En defensa judicial y prevención del daño antijurídico, se alcanzó una tasa de éxito del 97,7 % en los procesos prejudiciales y judiciales, evitando condenas por aproximadamente $1,2 billones y optimizando el uso de los recursos públicos. Finalmente, en mejora normativa y participación ciudadana, se promueve la agenda regulatoria y la publicación de proyectos de actos administrativos en LegalBog Participa, además de ejecutar la depuración normativa mediante el </w:t>
            </w:r>
            <w:r>
              <w:rPr>
                <w:sz w:val="18"/>
                <w:szCs w:val="18"/>
              </w:rPr>
              <w:lastRenderedPageBreak/>
              <w:t>inventario regulatorio, fortaleciendo la transparencia, la seguridad jurídica y la calidad normativa del sector de movilidad.</w:t>
            </w:r>
          </w:p>
        </w:tc>
      </w:tr>
    </w:tbl>
    <w:p w14:paraId="4A03409C" w14:textId="77777777" w:rsidR="00B54C0B" w:rsidRDefault="00B54C0B">
      <w:pPr>
        <w:widowControl w:val="0"/>
        <w:pBdr>
          <w:top w:val="nil"/>
          <w:left w:val="nil"/>
          <w:bottom w:val="nil"/>
          <w:right w:val="nil"/>
          <w:between w:val="nil"/>
        </w:pBdr>
        <w:spacing w:after="0" w:line="276" w:lineRule="auto"/>
        <w:rPr>
          <w:sz w:val="18"/>
          <w:szCs w:val="18"/>
        </w:rPr>
      </w:pPr>
    </w:p>
    <w:tbl>
      <w:tblPr>
        <w:tblStyle w:val="afffffff7"/>
        <w:tblW w:w="13864"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2551"/>
        <w:gridCol w:w="1680"/>
        <w:gridCol w:w="1425"/>
        <w:gridCol w:w="1741"/>
        <w:gridCol w:w="6467"/>
      </w:tblGrid>
      <w:tr w:rsidR="00B54C0B" w14:paraId="32A5A92E" w14:textId="77777777">
        <w:trPr>
          <w:trHeight w:val="1190"/>
          <w:tblHeader/>
        </w:trPr>
        <w:tc>
          <w:tcPr>
            <w:tcW w:w="13864" w:type="dxa"/>
            <w:gridSpan w:val="5"/>
            <w:tcBorders>
              <w:top w:val="single" w:sz="7" w:space="0" w:color="000000"/>
              <w:left w:val="single" w:sz="7" w:space="0" w:color="000000"/>
              <w:bottom w:val="single" w:sz="7" w:space="0" w:color="000000"/>
              <w:right w:val="single" w:sz="7" w:space="0" w:color="000000"/>
            </w:tcBorders>
            <w:shd w:val="clear" w:color="auto" w:fill="0070C0"/>
            <w:tcMar>
              <w:top w:w="100" w:type="dxa"/>
              <w:left w:w="100" w:type="dxa"/>
              <w:bottom w:w="100" w:type="dxa"/>
              <w:right w:w="100" w:type="dxa"/>
            </w:tcMar>
          </w:tcPr>
          <w:p w14:paraId="79D276E9" w14:textId="77777777" w:rsidR="00B54C0B" w:rsidRDefault="00000000">
            <w:pPr>
              <w:widowControl w:val="0"/>
              <w:spacing w:before="40" w:after="0" w:line="240" w:lineRule="auto"/>
              <w:jc w:val="center"/>
              <w:rPr>
                <w:color w:val="FFFFFF"/>
              </w:rPr>
            </w:pPr>
            <w:r>
              <w:rPr>
                <w:b/>
                <w:bCs/>
                <w:color w:val="FFFFFF"/>
              </w:rPr>
              <w:lastRenderedPageBreak/>
              <w:t>Objetivo estratégico 5 - Bogotá confía en su gobierno</w:t>
            </w:r>
          </w:p>
          <w:p w14:paraId="1A28CB79" w14:textId="77777777" w:rsidR="00B54C0B" w:rsidRDefault="00000000">
            <w:pPr>
              <w:spacing w:before="40" w:after="0" w:line="276" w:lineRule="auto"/>
              <w:jc w:val="center"/>
              <w:rPr>
                <w:color w:val="FFFFFF"/>
                <w:sz w:val="18"/>
                <w:szCs w:val="18"/>
              </w:rPr>
            </w:pPr>
            <w:r>
              <w:rPr>
                <w:color w:val="FFFFFF"/>
                <w:sz w:val="18"/>
                <w:szCs w:val="18"/>
              </w:rPr>
              <w:t>PROGRAMA 39: Camino hacia una democracia deliberativa con un gobierno cercano a la gente y con participación ciudadana</w:t>
            </w:r>
          </w:p>
          <w:p w14:paraId="2A129A21" w14:textId="77777777" w:rsidR="00B54C0B" w:rsidRDefault="00000000">
            <w:pPr>
              <w:spacing w:before="40" w:after="0" w:line="276" w:lineRule="auto"/>
              <w:jc w:val="both"/>
              <w:rPr>
                <w:color w:val="FFFFFF"/>
                <w:sz w:val="18"/>
                <w:szCs w:val="18"/>
              </w:rPr>
            </w:pPr>
            <w:r>
              <w:rPr>
                <w:color w:val="FFFFFF"/>
                <w:sz w:val="18"/>
                <w:szCs w:val="18"/>
              </w:rPr>
              <w:t xml:space="preserve">7974 Fortalecimiento de los procesos contravencionales asociados a las infracciones de normas de tránsito y transporte público en Bogotá D.C.  </w:t>
            </w:r>
          </w:p>
          <w:p w14:paraId="26AFAE2B" w14:textId="77777777" w:rsidR="00B54C0B" w:rsidRDefault="00000000">
            <w:pPr>
              <w:spacing w:before="40" w:after="0" w:line="276" w:lineRule="auto"/>
              <w:jc w:val="both"/>
              <w:rPr>
                <w:color w:val="FFFFFF"/>
                <w:sz w:val="18"/>
                <w:szCs w:val="18"/>
              </w:rPr>
            </w:pPr>
            <w:r>
              <w:rPr>
                <w:color w:val="FFFFFF"/>
                <w:sz w:val="18"/>
                <w:szCs w:val="18"/>
              </w:rPr>
              <w:t>8008 Mejoramiento de los servicios prestados en la Secretaría Distrital de Movilidad de Bogotá D.C. 2223. Lograr 9.200.000 viajes en modos sostenibles.</w:t>
            </w:r>
          </w:p>
          <w:p w14:paraId="3CB97AB8" w14:textId="77777777" w:rsidR="00B54C0B" w:rsidRDefault="00000000">
            <w:pPr>
              <w:spacing w:before="40" w:after="0" w:line="276" w:lineRule="auto"/>
              <w:jc w:val="both"/>
              <w:rPr>
                <w:b/>
                <w:bCs/>
                <w:sz w:val="18"/>
                <w:szCs w:val="18"/>
              </w:rPr>
            </w:pPr>
            <w:r>
              <w:rPr>
                <w:color w:val="FFFFFF"/>
                <w:sz w:val="18"/>
                <w:szCs w:val="18"/>
              </w:rPr>
              <w:t>8012 Implementación de espacios de participación ciudadana incidente en la Secretaría Distrital de Movilidad de Bogotá D.C.</w:t>
            </w:r>
          </w:p>
        </w:tc>
      </w:tr>
      <w:tr w:rsidR="00B54C0B" w14:paraId="4A9F1BAF" w14:textId="77777777">
        <w:trPr>
          <w:trHeight w:val="977"/>
        </w:trPr>
        <w:tc>
          <w:tcPr>
            <w:tcW w:w="2551"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1858165E" w14:textId="77777777" w:rsidR="00B54C0B" w:rsidRDefault="00B54C0B">
            <w:pPr>
              <w:widowControl w:val="0"/>
              <w:spacing w:after="0" w:line="240" w:lineRule="auto"/>
              <w:jc w:val="center"/>
              <w:rPr>
                <w:b/>
                <w:bCs/>
                <w:sz w:val="18"/>
                <w:szCs w:val="18"/>
              </w:rPr>
            </w:pPr>
          </w:p>
          <w:p w14:paraId="065EC0A9" w14:textId="77777777" w:rsidR="00B54C0B" w:rsidRDefault="00000000">
            <w:pPr>
              <w:widowControl w:val="0"/>
              <w:spacing w:after="0" w:line="240" w:lineRule="auto"/>
              <w:jc w:val="center"/>
              <w:rPr>
                <w:b/>
                <w:bCs/>
                <w:sz w:val="18"/>
                <w:szCs w:val="18"/>
              </w:rPr>
            </w:pPr>
            <w:r>
              <w:rPr>
                <w:b/>
                <w:bCs/>
                <w:sz w:val="18"/>
                <w:szCs w:val="18"/>
              </w:rPr>
              <w:t>Meta</w:t>
            </w:r>
          </w:p>
        </w:tc>
        <w:tc>
          <w:tcPr>
            <w:tcW w:w="1680"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7C11C2D2" w14:textId="77777777" w:rsidR="00B54C0B" w:rsidRDefault="00000000">
            <w:pPr>
              <w:widowControl w:val="0"/>
              <w:spacing w:after="0" w:line="240" w:lineRule="auto"/>
              <w:jc w:val="center"/>
              <w:rPr>
                <w:b/>
                <w:bCs/>
                <w:sz w:val="18"/>
                <w:szCs w:val="18"/>
              </w:rPr>
            </w:pPr>
            <w:r>
              <w:rPr>
                <w:b/>
                <w:bCs/>
                <w:sz w:val="18"/>
                <w:szCs w:val="18"/>
              </w:rPr>
              <w:t>Magnitud</w:t>
            </w:r>
          </w:p>
          <w:p w14:paraId="506BF1AB" w14:textId="77777777" w:rsidR="00B54C0B" w:rsidRDefault="00000000">
            <w:pPr>
              <w:widowControl w:val="0"/>
              <w:spacing w:after="0" w:line="240" w:lineRule="auto"/>
              <w:jc w:val="center"/>
              <w:rPr>
                <w:b/>
                <w:bCs/>
                <w:sz w:val="18"/>
                <w:szCs w:val="18"/>
              </w:rPr>
            </w:pPr>
            <w:r>
              <w:rPr>
                <w:b/>
                <w:bCs/>
                <w:sz w:val="18"/>
                <w:szCs w:val="18"/>
              </w:rPr>
              <w:t>Programada</w:t>
            </w:r>
          </w:p>
        </w:tc>
        <w:tc>
          <w:tcPr>
            <w:tcW w:w="1425"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5822FEDE" w14:textId="77777777" w:rsidR="00B54C0B" w:rsidRDefault="00000000">
            <w:pPr>
              <w:widowControl w:val="0"/>
              <w:spacing w:after="0" w:line="240" w:lineRule="auto"/>
              <w:jc w:val="center"/>
              <w:rPr>
                <w:b/>
                <w:bCs/>
                <w:sz w:val="18"/>
                <w:szCs w:val="18"/>
              </w:rPr>
            </w:pPr>
            <w:r>
              <w:rPr>
                <w:b/>
                <w:bCs/>
                <w:sz w:val="18"/>
                <w:szCs w:val="18"/>
              </w:rPr>
              <w:t>Magnitud</w:t>
            </w:r>
          </w:p>
          <w:p w14:paraId="51986B01" w14:textId="77777777" w:rsidR="00B54C0B" w:rsidRDefault="00000000">
            <w:pPr>
              <w:widowControl w:val="0"/>
              <w:spacing w:after="0" w:line="240" w:lineRule="auto"/>
              <w:jc w:val="center"/>
              <w:rPr>
                <w:b/>
                <w:bCs/>
                <w:sz w:val="18"/>
                <w:szCs w:val="18"/>
              </w:rPr>
            </w:pPr>
            <w:r>
              <w:rPr>
                <w:b/>
                <w:bCs/>
                <w:sz w:val="18"/>
                <w:szCs w:val="18"/>
              </w:rPr>
              <w:t>Ejecutada</w:t>
            </w:r>
          </w:p>
        </w:tc>
        <w:tc>
          <w:tcPr>
            <w:tcW w:w="1741"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5F4DF5D4" w14:textId="77777777" w:rsidR="00B54C0B" w:rsidRDefault="00000000">
            <w:pPr>
              <w:widowControl w:val="0"/>
              <w:spacing w:after="0" w:line="240" w:lineRule="auto"/>
              <w:jc w:val="center"/>
              <w:rPr>
                <w:b/>
                <w:bCs/>
                <w:sz w:val="18"/>
                <w:szCs w:val="18"/>
              </w:rPr>
            </w:pPr>
            <w:r>
              <w:rPr>
                <w:b/>
                <w:bCs/>
                <w:sz w:val="18"/>
                <w:szCs w:val="18"/>
              </w:rPr>
              <w:t>% de Cumplimiento</w:t>
            </w:r>
          </w:p>
        </w:tc>
        <w:tc>
          <w:tcPr>
            <w:tcW w:w="6467"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CDCB881" w14:textId="77777777" w:rsidR="00B54C0B" w:rsidRDefault="00000000">
            <w:pPr>
              <w:widowControl w:val="0"/>
              <w:spacing w:after="0" w:line="240" w:lineRule="auto"/>
              <w:jc w:val="center"/>
              <w:rPr>
                <w:b/>
                <w:bCs/>
                <w:sz w:val="18"/>
                <w:szCs w:val="18"/>
              </w:rPr>
            </w:pPr>
            <w:r>
              <w:rPr>
                <w:b/>
                <w:bCs/>
                <w:sz w:val="18"/>
                <w:szCs w:val="18"/>
              </w:rPr>
              <w:t>Logros, Avances y Dificultades</w:t>
            </w:r>
          </w:p>
        </w:tc>
      </w:tr>
      <w:tr w:rsidR="00B54C0B" w14:paraId="4BC06A38" w14:textId="77777777">
        <w:trPr>
          <w:trHeight w:val="2240"/>
        </w:trPr>
        <w:tc>
          <w:tcPr>
            <w:tcW w:w="2551" w:type="dxa"/>
            <w:tcBorders>
              <w:top w:val="single" w:sz="4"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54F5D4DA" w14:textId="77777777" w:rsidR="00B54C0B" w:rsidRDefault="00000000">
            <w:pPr>
              <w:widowControl w:val="0"/>
              <w:spacing w:after="0" w:line="240" w:lineRule="auto"/>
              <w:rPr>
                <w:sz w:val="18"/>
                <w:szCs w:val="18"/>
              </w:rPr>
            </w:pPr>
            <w:r>
              <w:rPr>
                <w:sz w:val="18"/>
                <w:szCs w:val="18"/>
              </w:rPr>
              <w:t>2340 - Desarrollar el 100% de mejoramiento en la atención, participación ciudadana incidente y formación para la atención integral con enfoques de género, diferencial y territorial, a través de los canales definidos por cada entidad, del Sector Movilidad</w:t>
            </w:r>
          </w:p>
        </w:tc>
        <w:tc>
          <w:tcPr>
            <w:tcW w:w="1680" w:type="dxa"/>
            <w:tcBorders>
              <w:top w:val="single" w:sz="4" w:space="0" w:color="000000"/>
              <w:left w:val="nil"/>
              <w:bottom w:val="single" w:sz="7" w:space="0" w:color="000000"/>
              <w:right w:val="single" w:sz="7" w:space="0" w:color="000000"/>
            </w:tcBorders>
            <w:tcMar>
              <w:top w:w="100" w:type="dxa"/>
              <w:left w:w="100" w:type="dxa"/>
              <w:bottom w:w="100" w:type="dxa"/>
              <w:right w:w="100" w:type="dxa"/>
            </w:tcMar>
          </w:tcPr>
          <w:p w14:paraId="75F38596" w14:textId="77777777" w:rsidR="00B54C0B" w:rsidRDefault="00000000">
            <w:pPr>
              <w:widowControl w:val="0"/>
              <w:spacing w:after="0" w:line="240" w:lineRule="auto"/>
              <w:jc w:val="center"/>
              <w:rPr>
                <w:sz w:val="18"/>
                <w:szCs w:val="18"/>
              </w:rPr>
            </w:pPr>
            <w:r>
              <w:rPr>
                <w:sz w:val="18"/>
                <w:szCs w:val="18"/>
              </w:rPr>
              <w:t>100%</w:t>
            </w:r>
          </w:p>
        </w:tc>
        <w:tc>
          <w:tcPr>
            <w:tcW w:w="1425" w:type="dxa"/>
            <w:tcBorders>
              <w:top w:val="single" w:sz="4" w:space="0" w:color="000000"/>
              <w:left w:val="nil"/>
              <w:bottom w:val="single" w:sz="7" w:space="0" w:color="000000"/>
              <w:right w:val="single" w:sz="7" w:space="0" w:color="000000"/>
            </w:tcBorders>
            <w:tcMar>
              <w:top w:w="100" w:type="dxa"/>
              <w:left w:w="100" w:type="dxa"/>
              <w:bottom w:w="100" w:type="dxa"/>
              <w:right w:w="100" w:type="dxa"/>
            </w:tcMar>
          </w:tcPr>
          <w:p w14:paraId="1A58B5E5" w14:textId="77777777" w:rsidR="00B54C0B" w:rsidRDefault="00000000">
            <w:pPr>
              <w:widowControl w:val="0"/>
              <w:spacing w:after="0" w:line="240" w:lineRule="auto"/>
              <w:jc w:val="center"/>
              <w:rPr>
                <w:sz w:val="18"/>
                <w:szCs w:val="18"/>
              </w:rPr>
            </w:pPr>
            <w:r>
              <w:rPr>
                <w:sz w:val="18"/>
                <w:szCs w:val="18"/>
              </w:rPr>
              <w:t>100%</w:t>
            </w:r>
          </w:p>
        </w:tc>
        <w:tc>
          <w:tcPr>
            <w:tcW w:w="1741" w:type="dxa"/>
            <w:tcBorders>
              <w:top w:val="single" w:sz="4" w:space="0" w:color="000000"/>
              <w:left w:val="nil"/>
              <w:bottom w:val="single" w:sz="7" w:space="0" w:color="000000"/>
              <w:right w:val="single" w:sz="7" w:space="0" w:color="000000"/>
            </w:tcBorders>
            <w:tcMar>
              <w:top w:w="100" w:type="dxa"/>
              <w:left w:w="100" w:type="dxa"/>
              <w:bottom w:w="100" w:type="dxa"/>
              <w:right w:w="100" w:type="dxa"/>
            </w:tcMar>
          </w:tcPr>
          <w:p w14:paraId="5846C2F8" w14:textId="77777777" w:rsidR="00B54C0B" w:rsidRDefault="00000000">
            <w:pPr>
              <w:widowControl w:val="0"/>
              <w:pBdr>
                <w:top w:val="nil"/>
                <w:left w:val="nil"/>
                <w:bottom w:val="nil"/>
                <w:right w:val="nil"/>
                <w:between w:val="nil"/>
              </w:pBdr>
              <w:spacing w:after="0" w:line="240" w:lineRule="auto"/>
              <w:jc w:val="both"/>
              <w:rPr>
                <w:sz w:val="18"/>
                <w:szCs w:val="18"/>
              </w:rPr>
            </w:pPr>
            <w:r>
              <w:rPr>
                <w:sz w:val="18"/>
                <w:szCs w:val="18"/>
              </w:rPr>
              <w:t>100%</w:t>
            </w:r>
          </w:p>
        </w:tc>
        <w:tc>
          <w:tcPr>
            <w:tcW w:w="6467" w:type="dxa"/>
            <w:tcBorders>
              <w:top w:val="single" w:sz="4" w:space="0" w:color="000000"/>
              <w:left w:val="nil"/>
              <w:bottom w:val="single" w:sz="7" w:space="0" w:color="000000"/>
              <w:right w:val="single" w:sz="7" w:space="0" w:color="000000"/>
            </w:tcBorders>
            <w:tcMar>
              <w:top w:w="100" w:type="dxa"/>
              <w:left w:w="100" w:type="dxa"/>
              <w:bottom w:w="100" w:type="dxa"/>
              <w:right w:w="100" w:type="dxa"/>
            </w:tcMar>
          </w:tcPr>
          <w:p w14:paraId="2DB28773" w14:textId="77777777" w:rsidR="00B54C0B" w:rsidRDefault="00000000">
            <w:pPr>
              <w:widowControl w:val="0"/>
              <w:pBdr>
                <w:top w:val="nil"/>
                <w:left w:val="nil"/>
                <w:bottom w:val="nil"/>
                <w:right w:val="nil"/>
                <w:between w:val="nil"/>
              </w:pBdr>
              <w:spacing w:after="0" w:line="240" w:lineRule="auto"/>
              <w:jc w:val="both"/>
              <w:rPr>
                <w:sz w:val="18"/>
                <w:szCs w:val="18"/>
              </w:rPr>
            </w:pPr>
            <w:r>
              <w:rPr>
                <w:sz w:val="18"/>
                <w:szCs w:val="18"/>
              </w:rPr>
              <w:t>En el marco del Plan de Desarrollo Distrital, la Secretaría Distrital de Movilidad (SDM) consolidó durante la vigencia 2025 las siguientes actividades:</w:t>
            </w:r>
          </w:p>
          <w:p w14:paraId="35031B13" w14:textId="77777777" w:rsidR="00B54C0B" w:rsidRDefault="00B54C0B">
            <w:pPr>
              <w:widowControl w:val="0"/>
              <w:pBdr>
                <w:top w:val="nil"/>
                <w:left w:val="nil"/>
                <w:bottom w:val="nil"/>
                <w:right w:val="nil"/>
                <w:between w:val="nil"/>
              </w:pBdr>
              <w:spacing w:after="0" w:line="240" w:lineRule="auto"/>
              <w:jc w:val="both"/>
              <w:rPr>
                <w:sz w:val="18"/>
                <w:szCs w:val="18"/>
              </w:rPr>
            </w:pPr>
          </w:p>
          <w:p w14:paraId="533268A4" w14:textId="77777777" w:rsidR="00B54C0B" w:rsidRDefault="00000000">
            <w:pPr>
              <w:widowControl w:val="0"/>
              <w:pBdr>
                <w:top w:val="nil"/>
                <w:left w:val="nil"/>
                <w:bottom w:val="nil"/>
                <w:right w:val="nil"/>
                <w:between w:val="nil"/>
              </w:pBdr>
              <w:spacing w:after="0" w:line="240" w:lineRule="auto"/>
              <w:jc w:val="both"/>
              <w:rPr>
                <w:sz w:val="18"/>
                <w:szCs w:val="18"/>
              </w:rPr>
            </w:pPr>
            <w:r>
              <w:rPr>
                <w:sz w:val="18"/>
                <w:szCs w:val="18"/>
              </w:rPr>
              <w:t>Monitoreo de Interacciones y Evaluación del Cumplimiento del Manual de Servicio.</w:t>
            </w:r>
          </w:p>
          <w:p w14:paraId="4FE53305" w14:textId="77777777" w:rsidR="00B54C0B" w:rsidRDefault="00000000">
            <w:pPr>
              <w:widowControl w:val="0"/>
              <w:pBdr>
                <w:top w:val="nil"/>
                <w:left w:val="nil"/>
                <w:bottom w:val="nil"/>
                <w:right w:val="nil"/>
                <w:between w:val="nil"/>
              </w:pBdr>
              <w:spacing w:after="0" w:line="240" w:lineRule="auto"/>
              <w:jc w:val="both"/>
              <w:rPr>
                <w:sz w:val="18"/>
                <w:szCs w:val="18"/>
              </w:rPr>
            </w:pPr>
            <w:r>
              <w:rPr>
                <w:sz w:val="18"/>
                <w:szCs w:val="18"/>
              </w:rPr>
              <w:t>Se monitorearon 61 interacciones a través de los canales de atención y se evaluó el cumplimiento del Manual de Servicio por parte de 190 servidores públicos. Este proceso es parte de la estrategia de mejora continua para garantizar una atención de calidad a los ciudadanos.</w:t>
            </w:r>
          </w:p>
          <w:p w14:paraId="26E31FAF" w14:textId="77777777" w:rsidR="00B54C0B" w:rsidRDefault="00B54C0B">
            <w:pPr>
              <w:widowControl w:val="0"/>
              <w:pBdr>
                <w:top w:val="nil"/>
                <w:left w:val="nil"/>
                <w:bottom w:val="nil"/>
                <w:right w:val="nil"/>
                <w:between w:val="nil"/>
              </w:pBdr>
              <w:spacing w:after="0" w:line="240" w:lineRule="auto"/>
              <w:jc w:val="both"/>
              <w:rPr>
                <w:sz w:val="18"/>
                <w:szCs w:val="18"/>
              </w:rPr>
            </w:pPr>
          </w:p>
          <w:p w14:paraId="72434062" w14:textId="77777777" w:rsidR="00B54C0B" w:rsidRDefault="00000000">
            <w:pPr>
              <w:widowControl w:val="0"/>
              <w:pBdr>
                <w:top w:val="nil"/>
                <w:left w:val="nil"/>
                <w:bottom w:val="nil"/>
                <w:right w:val="nil"/>
                <w:between w:val="nil"/>
              </w:pBdr>
              <w:spacing w:after="0" w:line="240" w:lineRule="auto"/>
              <w:jc w:val="both"/>
              <w:rPr>
                <w:sz w:val="18"/>
                <w:szCs w:val="18"/>
              </w:rPr>
            </w:pPr>
            <w:r>
              <w:rPr>
                <w:sz w:val="18"/>
                <w:szCs w:val="18"/>
              </w:rPr>
              <w:t>En lo corrido de la vigencia se llevaron a cabo 429 actividades de formación en prevención de la siniestralidad vial con enfoque poblacional, diferencial y de género: 309 presenciales y 120 virtuales, que contaron con 11.540 personas participantes.</w:t>
            </w:r>
          </w:p>
          <w:p w14:paraId="1909D834" w14:textId="77777777" w:rsidR="00B54C0B" w:rsidRDefault="00B54C0B">
            <w:pPr>
              <w:widowControl w:val="0"/>
              <w:pBdr>
                <w:top w:val="nil"/>
                <w:left w:val="nil"/>
                <w:bottom w:val="nil"/>
                <w:right w:val="nil"/>
                <w:between w:val="nil"/>
              </w:pBdr>
              <w:spacing w:after="0" w:line="240" w:lineRule="auto"/>
              <w:jc w:val="both"/>
              <w:rPr>
                <w:sz w:val="18"/>
                <w:szCs w:val="18"/>
              </w:rPr>
            </w:pPr>
          </w:p>
          <w:p w14:paraId="29B80C3F" w14:textId="77777777" w:rsidR="00B54C0B" w:rsidRDefault="00000000">
            <w:pPr>
              <w:widowControl w:val="0"/>
              <w:pBdr>
                <w:top w:val="nil"/>
                <w:left w:val="nil"/>
                <w:bottom w:val="nil"/>
                <w:right w:val="nil"/>
                <w:between w:val="nil"/>
              </w:pBdr>
              <w:spacing w:after="0" w:line="240" w:lineRule="auto"/>
              <w:jc w:val="both"/>
              <w:rPr>
                <w:sz w:val="18"/>
                <w:szCs w:val="18"/>
              </w:rPr>
            </w:pPr>
            <w:r>
              <w:rPr>
                <w:sz w:val="18"/>
                <w:szCs w:val="18"/>
              </w:rPr>
              <w:t>Adicionalmente, se realizaron 1124 atenciones a ciudadanos nuevos en orientación a víctimas de siniestros viales, con enfoque poblacional, diferencial y de género. Estas atenciones se brindaron a 605 hombres y 519 mujeres.</w:t>
            </w:r>
          </w:p>
          <w:p w14:paraId="14BAA00F" w14:textId="77777777" w:rsidR="00B54C0B" w:rsidRDefault="00B54C0B">
            <w:pPr>
              <w:widowControl w:val="0"/>
              <w:pBdr>
                <w:top w:val="nil"/>
                <w:left w:val="nil"/>
                <w:bottom w:val="nil"/>
                <w:right w:val="nil"/>
                <w:between w:val="nil"/>
              </w:pBdr>
              <w:spacing w:after="0" w:line="240" w:lineRule="auto"/>
              <w:jc w:val="both"/>
              <w:rPr>
                <w:sz w:val="18"/>
                <w:szCs w:val="18"/>
              </w:rPr>
            </w:pPr>
          </w:p>
          <w:p w14:paraId="569B2AC0" w14:textId="77777777" w:rsidR="00B54C0B" w:rsidRDefault="00000000">
            <w:pPr>
              <w:widowControl w:val="0"/>
              <w:pBdr>
                <w:top w:val="nil"/>
                <w:left w:val="nil"/>
                <w:bottom w:val="nil"/>
                <w:right w:val="nil"/>
                <w:between w:val="nil"/>
              </w:pBdr>
              <w:spacing w:after="0" w:line="240" w:lineRule="auto"/>
              <w:jc w:val="both"/>
              <w:rPr>
                <w:sz w:val="18"/>
                <w:szCs w:val="18"/>
              </w:rPr>
            </w:pPr>
            <w:r>
              <w:rPr>
                <w:sz w:val="18"/>
                <w:szCs w:val="18"/>
              </w:rPr>
              <w:t>En el marco de estas intervenciones, se ofrecieron diversos servicios de apoyo, entre los cuales se destacan:</w:t>
            </w:r>
          </w:p>
          <w:p w14:paraId="19C3F6A6" w14:textId="77777777" w:rsidR="00B54C0B" w:rsidRDefault="00000000">
            <w:pPr>
              <w:widowControl w:val="0"/>
              <w:pBdr>
                <w:top w:val="nil"/>
                <w:left w:val="nil"/>
                <w:bottom w:val="nil"/>
                <w:right w:val="nil"/>
                <w:between w:val="nil"/>
              </w:pBdr>
              <w:spacing w:after="0" w:line="240" w:lineRule="auto"/>
              <w:jc w:val="both"/>
              <w:rPr>
                <w:sz w:val="18"/>
                <w:szCs w:val="18"/>
              </w:rPr>
            </w:pPr>
            <w:r>
              <w:rPr>
                <w:sz w:val="18"/>
                <w:szCs w:val="18"/>
              </w:rPr>
              <w:t>1399 orientaciones jurídicas</w:t>
            </w:r>
          </w:p>
          <w:p w14:paraId="0DD9EB31" w14:textId="77777777" w:rsidR="00B54C0B" w:rsidRDefault="00000000">
            <w:pPr>
              <w:widowControl w:val="0"/>
              <w:pBdr>
                <w:top w:val="nil"/>
                <w:left w:val="nil"/>
                <w:bottom w:val="nil"/>
                <w:right w:val="nil"/>
                <w:between w:val="nil"/>
              </w:pBdr>
              <w:spacing w:after="0" w:line="240" w:lineRule="auto"/>
              <w:jc w:val="both"/>
              <w:rPr>
                <w:sz w:val="18"/>
                <w:szCs w:val="18"/>
              </w:rPr>
            </w:pPr>
            <w:r>
              <w:rPr>
                <w:sz w:val="18"/>
                <w:szCs w:val="18"/>
              </w:rPr>
              <w:t>1427 orientaciones psicológicas</w:t>
            </w:r>
          </w:p>
          <w:p w14:paraId="7C2062B5" w14:textId="77777777" w:rsidR="00B54C0B" w:rsidRDefault="00000000">
            <w:pPr>
              <w:widowControl w:val="0"/>
              <w:pBdr>
                <w:top w:val="nil"/>
                <w:left w:val="nil"/>
                <w:bottom w:val="nil"/>
                <w:right w:val="nil"/>
                <w:between w:val="nil"/>
              </w:pBdr>
              <w:spacing w:after="0" w:line="240" w:lineRule="auto"/>
              <w:jc w:val="both"/>
              <w:rPr>
                <w:sz w:val="18"/>
                <w:szCs w:val="18"/>
              </w:rPr>
            </w:pPr>
            <w:r>
              <w:rPr>
                <w:sz w:val="18"/>
                <w:szCs w:val="18"/>
              </w:rPr>
              <w:lastRenderedPageBreak/>
              <w:t>292 orientaciones sociales.</w:t>
            </w:r>
          </w:p>
          <w:p w14:paraId="0177A488" w14:textId="77777777" w:rsidR="00B54C0B" w:rsidRDefault="00B54C0B">
            <w:pPr>
              <w:widowControl w:val="0"/>
              <w:pBdr>
                <w:top w:val="nil"/>
                <w:left w:val="nil"/>
                <w:bottom w:val="nil"/>
                <w:right w:val="nil"/>
                <w:between w:val="nil"/>
              </w:pBdr>
              <w:spacing w:after="0" w:line="240" w:lineRule="auto"/>
              <w:jc w:val="both"/>
              <w:rPr>
                <w:sz w:val="18"/>
                <w:szCs w:val="18"/>
              </w:rPr>
            </w:pPr>
          </w:p>
          <w:p w14:paraId="65EFA2BC" w14:textId="77777777" w:rsidR="00B54C0B" w:rsidRDefault="00000000">
            <w:pPr>
              <w:widowControl w:val="0"/>
              <w:pBdr>
                <w:top w:val="nil"/>
                <w:left w:val="nil"/>
                <w:bottom w:val="nil"/>
                <w:right w:val="nil"/>
                <w:between w:val="nil"/>
              </w:pBdr>
              <w:spacing w:after="0" w:line="240" w:lineRule="auto"/>
              <w:jc w:val="both"/>
              <w:rPr>
                <w:sz w:val="18"/>
                <w:szCs w:val="18"/>
              </w:rPr>
            </w:pPr>
            <w:r>
              <w:rPr>
                <w:sz w:val="18"/>
                <w:szCs w:val="18"/>
              </w:rPr>
              <w:t>Como resultado de la implementación de lineamientos y estrategias de gestión social, la Secretaría Distrital de Movilidad ha logrado la participación de 127.558 personas, distribuidas así: 113.589 en Gestión Social Local, 2.871 en Políticas Públicas, 8.081 en Proyectos y 3.017 en Rendición de Cuentas, fortaleciendo así la confianza ciudadana en la gestión institucional.</w:t>
            </w:r>
          </w:p>
          <w:p w14:paraId="35430261" w14:textId="77777777" w:rsidR="00B54C0B" w:rsidRDefault="00B54C0B">
            <w:pPr>
              <w:widowControl w:val="0"/>
              <w:pBdr>
                <w:top w:val="nil"/>
                <w:left w:val="nil"/>
                <w:bottom w:val="nil"/>
                <w:right w:val="nil"/>
                <w:between w:val="nil"/>
              </w:pBdr>
              <w:spacing w:after="0" w:line="240" w:lineRule="auto"/>
              <w:jc w:val="both"/>
              <w:rPr>
                <w:sz w:val="18"/>
                <w:szCs w:val="18"/>
              </w:rPr>
            </w:pPr>
          </w:p>
          <w:p w14:paraId="66BF20BF" w14:textId="77777777" w:rsidR="00B54C0B" w:rsidRDefault="00000000">
            <w:pPr>
              <w:widowControl w:val="0"/>
              <w:pBdr>
                <w:top w:val="nil"/>
                <w:left w:val="nil"/>
                <w:bottom w:val="nil"/>
                <w:right w:val="nil"/>
                <w:between w:val="nil"/>
              </w:pBdr>
              <w:spacing w:after="0" w:line="240" w:lineRule="auto"/>
              <w:jc w:val="both"/>
              <w:rPr>
                <w:sz w:val="18"/>
                <w:szCs w:val="18"/>
              </w:rPr>
            </w:pPr>
            <w:r>
              <w:rPr>
                <w:sz w:val="18"/>
                <w:szCs w:val="18"/>
              </w:rPr>
              <w:t>Finalmente, en el marco del Proyecto Avantia, se brindó acompañamiento técnico y administrativo al proceso de recategorización de 100 mujeres, de las cuales 99 culminaron exitosamente su formación y obtuvieron licencia de conducción categoría C1. Dentro de las actividades desarrolladas en el mes de septiembre, se acompañó la realización de un ejercicio de investigación cualitativa que comprendió el conjunto de las fases del Programa de Recategorización de Licencias desarrollados desde el año 2021 por parte de la Secretaría. Este ejercicio de entrevista fue liderado por parte de un equipo consultor contratado por Metrópolis, uno de los integrantes del Proyecto Avantia.</w:t>
            </w:r>
          </w:p>
          <w:p w14:paraId="4D58339A" w14:textId="77777777" w:rsidR="00B54C0B" w:rsidRDefault="00B54C0B">
            <w:pPr>
              <w:widowControl w:val="0"/>
              <w:pBdr>
                <w:top w:val="nil"/>
                <w:left w:val="nil"/>
                <w:bottom w:val="nil"/>
                <w:right w:val="nil"/>
                <w:between w:val="nil"/>
              </w:pBdr>
              <w:spacing w:after="0" w:line="240" w:lineRule="auto"/>
              <w:jc w:val="both"/>
              <w:rPr>
                <w:sz w:val="18"/>
                <w:szCs w:val="18"/>
              </w:rPr>
            </w:pPr>
          </w:p>
        </w:tc>
      </w:tr>
    </w:tbl>
    <w:p w14:paraId="2FB7C6ED" w14:textId="77777777" w:rsidR="00B54C0B" w:rsidRDefault="00B54C0B"/>
    <w:p w14:paraId="3857511C" w14:textId="77777777" w:rsidR="00B54C0B" w:rsidRDefault="00B54C0B">
      <w:pPr>
        <w:tabs>
          <w:tab w:val="left" w:pos="3465"/>
        </w:tabs>
        <w:rPr>
          <w:b/>
          <w:bCs/>
        </w:rPr>
      </w:pPr>
    </w:p>
    <w:p w14:paraId="08CF5EF1" w14:textId="77777777" w:rsidR="00B54C0B" w:rsidRDefault="00B54C0B">
      <w:pPr>
        <w:ind w:firstLine="284"/>
      </w:pPr>
    </w:p>
    <w:sectPr w:rsidR="00B54C0B">
      <w:pgSz w:w="16834" w:h="11909" w:orient="landscape"/>
      <w:pgMar w:top="1701" w:right="1560" w:bottom="1701" w:left="1843" w:header="709" w:footer="13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2BD5E" w14:textId="77777777" w:rsidR="002B0C8F" w:rsidRDefault="002B0C8F">
      <w:pPr>
        <w:spacing w:after="0" w:line="240" w:lineRule="auto"/>
      </w:pPr>
      <w:r>
        <w:separator/>
      </w:r>
    </w:p>
  </w:endnote>
  <w:endnote w:type="continuationSeparator" w:id="0">
    <w:p w14:paraId="11898068" w14:textId="77777777" w:rsidR="002B0C8F" w:rsidRDefault="002B0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D40E3FE7-E6E2-429B-9C6B-9582DE8C42C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AEDD5B4-C2F2-4341-9477-0F6AAFBC4317}"/>
    <w:embedBold r:id="rId3" w:fontKey="{8104B9B0-0428-4100-91B3-D9A3C168FAB3}"/>
    <w:embedItalic r:id="rId4" w:fontKey="{0B240387-F987-4AA6-93D2-CE81BF79F786}"/>
    <w:embedBoldItalic r:id="rId5" w:fontKey="{4CBCB892-9CCE-43E2-AEFA-612BC33558D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1F3C7028-6BFB-47A2-A3CD-760D0DD18814}"/>
    <w:embedBold r:id="rId7" w:fontKey="{3FC58685-5C92-4F36-8E10-A8297CE8D920}"/>
    <w:embedItalic r:id="rId8" w:fontKey="{A7FCCF6D-B049-42AA-83FB-97655E7B2358}"/>
    <w:embedBoldItalic r:id="rId9" w:fontKey="{45D1A773-01F5-4B41-BDA4-1B1904D4AFCE}"/>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0" w:fontKey="{7C1B9980-C67F-4B2B-B1E3-F0DCFCFE5F3E}"/>
  </w:font>
  <w:font w:name="Century Schoolbook">
    <w:panose1 w:val="02040604050505020304"/>
    <w:charset w:val="00"/>
    <w:family w:val="roman"/>
    <w:pitch w:val="variable"/>
    <w:sig w:usb0="00000287" w:usb1="00000000" w:usb2="00000000" w:usb3="00000000" w:csb0="0000009F" w:csb1="00000000"/>
    <w:embedRegular r:id="rId11" w:fontKey="{3F32FC2C-C608-4419-9B7C-FD4C351A272E}"/>
  </w:font>
  <w:font w:name="Garamond">
    <w:panose1 w:val="02020404030301010803"/>
    <w:charset w:val="00"/>
    <w:family w:val="roman"/>
    <w:pitch w:val="variable"/>
    <w:sig w:usb0="00000287" w:usb1="00000000" w:usb2="00000000" w:usb3="00000000" w:csb0="0000009F" w:csb1="00000000"/>
    <w:embedRegular r:id="rId12" w:fontKey="{28B3193F-0105-40AC-AA5E-96AC9CBA63E7}"/>
  </w:font>
  <w:font w:name="Cambria">
    <w:panose1 w:val="02040503050406030204"/>
    <w:charset w:val="00"/>
    <w:family w:val="roman"/>
    <w:pitch w:val="variable"/>
    <w:sig w:usb0="E00006FF" w:usb1="420024FF" w:usb2="02000000" w:usb3="00000000" w:csb0="0000019F" w:csb1="00000000"/>
    <w:embedRegular r:id="rId13" w:fontKey="{B4043ADD-C6BD-43EE-8FF2-27338FFB0702}"/>
    <w:embedBoldItalic r:id="rId14" w:fontKey="{937BD45C-6E04-46B1-A6AE-D955078C5E3E}"/>
  </w:font>
  <w:font w:name="Arial Narrow">
    <w:panose1 w:val="020B0606020202030204"/>
    <w:charset w:val="00"/>
    <w:family w:val="swiss"/>
    <w:pitch w:val="variable"/>
    <w:sig w:usb0="00000287" w:usb1="00000800" w:usb2="00000000" w:usb3="00000000" w:csb0="0000009F" w:csb1="00000000"/>
    <w:embedBold r:id="rId15" w:fontKey="{F3C6DF21-325B-4A5D-87B2-5F189E02BD4F}"/>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6" w:fontKey="{9EF0D192-B359-4EC4-AF99-803312115A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90179" w14:textId="77777777" w:rsidR="00B54C0B" w:rsidRDefault="00000000">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C41FE">
      <w:rPr>
        <w:noProof/>
        <w:color w:val="000000"/>
      </w:rPr>
      <w:t>2</w:t>
    </w:r>
    <w:r>
      <w:rPr>
        <w:color w:val="000000"/>
      </w:rPr>
      <w:fldChar w:fldCharType="end"/>
    </w:r>
  </w:p>
  <w:p w14:paraId="770A5BB7" w14:textId="77777777" w:rsidR="00B54C0B" w:rsidRDefault="00000000">
    <w:pPr>
      <w:spacing w:after="0" w:line="240" w:lineRule="auto"/>
      <w:rPr>
        <w:rFonts w:ascii="Arial" w:eastAsia="Arial" w:hAnsi="Arial" w:cs="Arial"/>
        <w:b/>
        <w:bCs/>
        <w:sz w:val="18"/>
        <w:szCs w:val="18"/>
      </w:rPr>
    </w:pPr>
    <w:r>
      <w:rPr>
        <w:rFonts w:ascii="Arial" w:eastAsia="Arial" w:hAnsi="Arial" w:cs="Arial"/>
        <w:sz w:val="14"/>
        <w:szCs w:val="14"/>
      </w:rPr>
      <w:t xml:space="preserve"> PA01-PR01-MD01 V.3.0</w:t>
    </w:r>
    <w:r>
      <w:rPr>
        <w:rFonts w:ascii="Arial" w:eastAsia="Arial" w:hAnsi="Arial" w:cs="Arial"/>
        <w:color w:val="808080"/>
        <w:sz w:val="14"/>
        <w:szCs w:val="14"/>
      </w:rPr>
      <w:t xml:space="preserve"> </w:t>
    </w:r>
    <w:r>
      <w:rPr>
        <w:noProof/>
      </w:rPr>
      <w:drawing>
        <wp:anchor distT="0" distB="0" distL="114300" distR="114300" simplePos="0" relativeHeight="251660288" behindDoc="0" locked="0" layoutInCell="1" hidden="0" allowOverlap="1" wp14:anchorId="61924FA2" wp14:editId="4505D74A">
          <wp:simplePos x="0" y="0"/>
          <wp:positionH relativeFrom="column">
            <wp:posOffset>4665345</wp:posOffset>
          </wp:positionH>
          <wp:positionV relativeFrom="paragraph">
            <wp:posOffset>39207</wp:posOffset>
          </wp:positionV>
          <wp:extent cx="735330" cy="754380"/>
          <wp:effectExtent l="0" t="0" r="0" b="0"/>
          <wp:wrapSquare wrapText="bothSides" distT="0" distB="0" distL="114300" distR="114300"/>
          <wp:docPr id="1768322495" name="image2.jp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jpg" descr="Logotipo&#10;&#10;Descripción generada automáticamente con confianza media"/>
                  <pic:cNvPicPr preferRelativeResize="0"/>
                </pic:nvPicPr>
                <pic:blipFill>
                  <a:blip r:embed="rId1"/>
                  <a:srcRect/>
                  <a:stretch>
                    <a:fillRect/>
                  </a:stretch>
                </pic:blipFill>
                <pic:spPr>
                  <a:xfrm>
                    <a:off x="0" y="0"/>
                    <a:ext cx="735330" cy="754380"/>
                  </a:xfrm>
                  <a:prstGeom prst="rect">
                    <a:avLst/>
                  </a:prstGeom>
                  <a:ln/>
                </pic:spPr>
              </pic:pic>
            </a:graphicData>
          </a:graphic>
        </wp:anchor>
      </w:drawing>
    </w:r>
  </w:p>
  <w:p w14:paraId="636D76BC" w14:textId="77777777" w:rsidR="00B54C0B" w:rsidRDefault="00000000">
    <w:pPr>
      <w:pBdr>
        <w:top w:val="nil"/>
        <w:left w:val="nil"/>
        <w:bottom w:val="nil"/>
        <w:right w:val="nil"/>
        <w:between w:val="nil"/>
      </w:pBdr>
      <w:tabs>
        <w:tab w:val="center" w:pos="4252"/>
        <w:tab w:val="right" w:pos="8504"/>
      </w:tabs>
      <w:spacing w:after="0" w:line="240" w:lineRule="auto"/>
      <w:rPr>
        <w:color w:val="000000"/>
      </w:rPr>
    </w:pPr>
    <w:r>
      <w:rPr>
        <w:rFonts w:ascii="Arial" w:eastAsia="Arial" w:hAnsi="Arial" w:cs="Arial"/>
        <w:b/>
        <w:bCs/>
        <w:color w:val="000000"/>
        <w:sz w:val="18"/>
        <w:szCs w:val="18"/>
      </w:rPr>
      <w:t>Secretaría Distrital de Movilidad</w:t>
    </w:r>
    <w:r>
      <w:rPr>
        <w:rFonts w:ascii="Arial" w:eastAsia="Arial" w:hAnsi="Arial" w:cs="Arial"/>
        <w:color w:val="000000"/>
        <w:sz w:val="16"/>
        <w:szCs w:val="16"/>
      </w:rPr>
      <w:br/>
      <w:t>Calle 13 # 37 - 35</w:t>
    </w:r>
    <w:r>
      <w:rPr>
        <w:rFonts w:ascii="Arial" w:eastAsia="Arial" w:hAnsi="Arial" w:cs="Arial"/>
        <w:color w:val="000000"/>
        <w:sz w:val="16"/>
        <w:szCs w:val="16"/>
      </w:rPr>
      <w:br/>
      <w:t>Teléfono: (1) 364 9400</w:t>
    </w:r>
    <w:r>
      <w:rPr>
        <w:rFonts w:ascii="Arial" w:eastAsia="Arial" w:hAnsi="Arial" w:cs="Arial"/>
        <w:color w:val="000000"/>
        <w:sz w:val="16"/>
        <w:szCs w:val="16"/>
      </w:rPr>
      <w:br/>
      <w:t>www.movilidadbogota.gov.co</w:t>
    </w:r>
    <w:r>
      <w:rPr>
        <w:rFonts w:ascii="Arial" w:eastAsia="Arial" w:hAnsi="Arial" w:cs="Arial"/>
        <w:color w:val="000000"/>
        <w:sz w:val="16"/>
        <w:szCs w:val="16"/>
      </w:rPr>
      <w:br/>
      <w:t xml:space="preserve">Información: Línea 195 Página </w:t>
    </w:r>
    <w:r>
      <w:rPr>
        <w:rFonts w:ascii="Arial" w:eastAsia="Arial" w:hAnsi="Arial" w:cs="Arial"/>
        <w:b/>
        <w:bCs/>
        <w:color w:val="000000"/>
        <w:sz w:val="16"/>
        <w:szCs w:val="16"/>
      </w:rPr>
      <w:fldChar w:fldCharType="begin"/>
    </w:r>
    <w:r>
      <w:rPr>
        <w:rFonts w:ascii="Arial" w:eastAsia="Arial" w:hAnsi="Arial" w:cs="Arial"/>
        <w:b/>
        <w:bCs/>
        <w:color w:val="000000"/>
        <w:sz w:val="16"/>
        <w:szCs w:val="16"/>
      </w:rPr>
      <w:instrText>PAGE</w:instrText>
    </w:r>
    <w:r>
      <w:rPr>
        <w:rFonts w:ascii="Arial" w:eastAsia="Arial" w:hAnsi="Arial" w:cs="Arial"/>
        <w:b/>
        <w:bCs/>
        <w:color w:val="000000"/>
        <w:sz w:val="16"/>
        <w:szCs w:val="16"/>
      </w:rPr>
      <w:fldChar w:fldCharType="separate"/>
    </w:r>
    <w:r w:rsidR="009C41FE">
      <w:rPr>
        <w:rFonts w:ascii="Arial" w:eastAsia="Arial" w:hAnsi="Arial" w:cs="Arial"/>
        <w:b/>
        <w:bCs/>
        <w:noProof/>
        <w:color w:val="000000"/>
        <w:sz w:val="16"/>
        <w:szCs w:val="16"/>
      </w:rPr>
      <w:t>2</w:t>
    </w:r>
    <w:r>
      <w:rPr>
        <w:rFonts w:ascii="Arial" w:eastAsia="Arial" w:hAnsi="Arial" w:cs="Arial"/>
        <w:b/>
        <w:bCs/>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bCs/>
        <w:color w:val="000000"/>
        <w:sz w:val="16"/>
        <w:szCs w:val="16"/>
      </w:rPr>
      <w:fldChar w:fldCharType="begin"/>
    </w:r>
    <w:r>
      <w:rPr>
        <w:rFonts w:ascii="Arial" w:eastAsia="Arial" w:hAnsi="Arial" w:cs="Arial"/>
        <w:b/>
        <w:bCs/>
        <w:color w:val="000000"/>
        <w:sz w:val="16"/>
        <w:szCs w:val="16"/>
      </w:rPr>
      <w:instrText>NUMPAGES</w:instrText>
    </w:r>
    <w:r>
      <w:rPr>
        <w:rFonts w:ascii="Arial" w:eastAsia="Arial" w:hAnsi="Arial" w:cs="Arial"/>
        <w:b/>
        <w:bCs/>
        <w:color w:val="000000"/>
        <w:sz w:val="16"/>
        <w:szCs w:val="16"/>
      </w:rPr>
      <w:fldChar w:fldCharType="separate"/>
    </w:r>
    <w:r w:rsidR="009C41FE">
      <w:rPr>
        <w:rFonts w:ascii="Arial" w:eastAsia="Arial" w:hAnsi="Arial" w:cs="Arial"/>
        <w:b/>
        <w:bCs/>
        <w:noProof/>
        <w:color w:val="000000"/>
        <w:sz w:val="16"/>
        <w:szCs w:val="16"/>
      </w:rPr>
      <w:t>3</w:t>
    </w:r>
    <w:r>
      <w:rPr>
        <w:rFonts w:ascii="Arial" w:eastAsia="Arial" w:hAnsi="Arial" w:cs="Arial"/>
        <w:b/>
        <w:bCs/>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E7B7E" w14:textId="77777777" w:rsidR="00B54C0B" w:rsidRDefault="00000000">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C41FE">
      <w:rPr>
        <w:noProof/>
        <w:color w:val="000000"/>
      </w:rPr>
      <w:t>1</w:t>
    </w:r>
    <w:r>
      <w:rPr>
        <w:color w:val="000000"/>
      </w:rPr>
      <w:fldChar w:fldCharType="end"/>
    </w:r>
  </w:p>
  <w:p w14:paraId="2CC4716F" w14:textId="77777777" w:rsidR="00B54C0B" w:rsidRDefault="00000000">
    <w:pPr>
      <w:spacing w:after="0" w:line="240" w:lineRule="auto"/>
      <w:rPr>
        <w:rFonts w:ascii="Arial" w:eastAsia="Arial" w:hAnsi="Arial" w:cs="Arial"/>
        <w:b/>
        <w:bCs/>
        <w:sz w:val="18"/>
        <w:szCs w:val="18"/>
      </w:rPr>
    </w:pPr>
    <w:r>
      <w:rPr>
        <w:rFonts w:ascii="Arial" w:eastAsia="Arial" w:hAnsi="Arial" w:cs="Arial"/>
        <w:sz w:val="14"/>
        <w:szCs w:val="14"/>
      </w:rPr>
      <w:t>PA01-PR01-MD01 V.3.0</w:t>
    </w:r>
    <w:r>
      <w:rPr>
        <w:rFonts w:ascii="Arial" w:eastAsia="Arial" w:hAnsi="Arial" w:cs="Arial"/>
        <w:color w:val="808080"/>
        <w:sz w:val="14"/>
        <w:szCs w:val="14"/>
      </w:rPr>
      <w:t xml:space="preserve"> </w:t>
    </w:r>
    <w:r>
      <w:rPr>
        <w:noProof/>
      </w:rPr>
      <w:drawing>
        <wp:anchor distT="0" distB="0" distL="114300" distR="114300" simplePos="0" relativeHeight="251661312" behindDoc="0" locked="0" layoutInCell="1" hidden="0" allowOverlap="1" wp14:anchorId="21DEAFCB" wp14:editId="770ABAE9">
          <wp:simplePos x="0" y="0"/>
          <wp:positionH relativeFrom="column">
            <wp:posOffset>4665345</wp:posOffset>
          </wp:positionH>
          <wp:positionV relativeFrom="paragraph">
            <wp:posOffset>39207</wp:posOffset>
          </wp:positionV>
          <wp:extent cx="735330" cy="754380"/>
          <wp:effectExtent l="0" t="0" r="0" b="0"/>
          <wp:wrapSquare wrapText="bothSides" distT="0" distB="0" distL="114300" distR="114300"/>
          <wp:docPr id="1768322494" name="image2.jp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jpg" descr="Logotipo&#10;&#10;Descripción generada automáticamente con confianza media"/>
                  <pic:cNvPicPr preferRelativeResize="0"/>
                </pic:nvPicPr>
                <pic:blipFill>
                  <a:blip r:embed="rId1"/>
                  <a:srcRect/>
                  <a:stretch>
                    <a:fillRect/>
                  </a:stretch>
                </pic:blipFill>
                <pic:spPr>
                  <a:xfrm>
                    <a:off x="0" y="0"/>
                    <a:ext cx="735330" cy="754380"/>
                  </a:xfrm>
                  <a:prstGeom prst="rect">
                    <a:avLst/>
                  </a:prstGeom>
                  <a:ln/>
                </pic:spPr>
              </pic:pic>
            </a:graphicData>
          </a:graphic>
        </wp:anchor>
      </w:drawing>
    </w:r>
  </w:p>
  <w:p w14:paraId="07406EF1" w14:textId="77777777" w:rsidR="00B54C0B" w:rsidRDefault="00000000">
    <w:pPr>
      <w:pBdr>
        <w:top w:val="nil"/>
        <w:left w:val="nil"/>
        <w:bottom w:val="nil"/>
        <w:right w:val="nil"/>
        <w:between w:val="nil"/>
      </w:pBdr>
      <w:tabs>
        <w:tab w:val="center" w:pos="4252"/>
        <w:tab w:val="right" w:pos="8504"/>
      </w:tabs>
      <w:spacing w:after="0" w:line="240" w:lineRule="auto"/>
      <w:rPr>
        <w:color w:val="000000"/>
      </w:rPr>
    </w:pPr>
    <w:r>
      <w:rPr>
        <w:rFonts w:ascii="Arial" w:eastAsia="Arial" w:hAnsi="Arial" w:cs="Arial"/>
        <w:b/>
        <w:bCs/>
        <w:color w:val="000000"/>
        <w:sz w:val="18"/>
        <w:szCs w:val="18"/>
      </w:rPr>
      <w:t>Secretaría Distrital de Movilidad</w:t>
    </w:r>
    <w:r>
      <w:rPr>
        <w:rFonts w:ascii="Arial" w:eastAsia="Arial" w:hAnsi="Arial" w:cs="Arial"/>
        <w:color w:val="000000"/>
        <w:sz w:val="16"/>
        <w:szCs w:val="16"/>
      </w:rPr>
      <w:br/>
      <w:t>Calle 13 # 37 - 35</w:t>
    </w:r>
    <w:r>
      <w:rPr>
        <w:rFonts w:ascii="Arial" w:eastAsia="Arial" w:hAnsi="Arial" w:cs="Arial"/>
        <w:color w:val="000000"/>
        <w:sz w:val="16"/>
        <w:szCs w:val="16"/>
      </w:rPr>
      <w:br/>
      <w:t>Teléfono: (1) 364 9400</w:t>
    </w:r>
    <w:r>
      <w:rPr>
        <w:rFonts w:ascii="Arial" w:eastAsia="Arial" w:hAnsi="Arial" w:cs="Arial"/>
        <w:color w:val="000000"/>
        <w:sz w:val="16"/>
        <w:szCs w:val="16"/>
      </w:rPr>
      <w:br/>
      <w:t>www.movilidadbogota.gov.co</w:t>
    </w:r>
    <w:r>
      <w:rPr>
        <w:rFonts w:ascii="Arial" w:eastAsia="Arial" w:hAnsi="Arial" w:cs="Arial"/>
        <w:color w:val="000000"/>
        <w:sz w:val="16"/>
        <w:szCs w:val="16"/>
      </w:rPr>
      <w:br/>
      <w:t xml:space="preserve">Información: Línea 195 Página </w:t>
    </w:r>
    <w:r>
      <w:rPr>
        <w:rFonts w:ascii="Arial" w:eastAsia="Arial" w:hAnsi="Arial" w:cs="Arial"/>
        <w:b/>
        <w:bCs/>
        <w:color w:val="000000"/>
        <w:sz w:val="16"/>
        <w:szCs w:val="16"/>
      </w:rPr>
      <w:fldChar w:fldCharType="begin"/>
    </w:r>
    <w:r>
      <w:rPr>
        <w:rFonts w:ascii="Arial" w:eastAsia="Arial" w:hAnsi="Arial" w:cs="Arial"/>
        <w:b/>
        <w:bCs/>
        <w:color w:val="000000"/>
        <w:sz w:val="16"/>
        <w:szCs w:val="16"/>
      </w:rPr>
      <w:instrText>PAGE</w:instrText>
    </w:r>
    <w:r>
      <w:rPr>
        <w:rFonts w:ascii="Arial" w:eastAsia="Arial" w:hAnsi="Arial" w:cs="Arial"/>
        <w:b/>
        <w:bCs/>
        <w:color w:val="000000"/>
        <w:sz w:val="16"/>
        <w:szCs w:val="16"/>
      </w:rPr>
      <w:fldChar w:fldCharType="separate"/>
    </w:r>
    <w:r w:rsidR="009C41FE">
      <w:rPr>
        <w:rFonts w:ascii="Arial" w:eastAsia="Arial" w:hAnsi="Arial" w:cs="Arial"/>
        <w:b/>
        <w:bCs/>
        <w:noProof/>
        <w:color w:val="000000"/>
        <w:sz w:val="16"/>
        <w:szCs w:val="16"/>
      </w:rPr>
      <w:t>1</w:t>
    </w:r>
    <w:r>
      <w:rPr>
        <w:rFonts w:ascii="Arial" w:eastAsia="Arial" w:hAnsi="Arial" w:cs="Arial"/>
        <w:b/>
        <w:bCs/>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bCs/>
        <w:color w:val="000000"/>
        <w:sz w:val="16"/>
        <w:szCs w:val="16"/>
      </w:rPr>
      <w:fldChar w:fldCharType="begin"/>
    </w:r>
    <w:r>
      <w:rPr>
        <w:rFonts w:ascii="Arial" w:eastAsia="Arial" w:hAnsi="Arial" w:cs="Arial"/>
        <w:b/>
        <w:bCs/>
        <w:color w:val="000000"/>
        <w:sz w:val="16"/>
        <w:szCs w:val="16"/>
      </w:rPr>
      <w:instrText>NUMPAGES</w:instrText>
    </w:r>
    <w:r>
      <w:rPr>
        <w:rFonts w:ascii="Arial" w:eastAsia="Arial" w:hAnsi="Arial" w:cs="Arial"/>
        <w:b/>
        <w:bCs/>
        <w:color w:val="000000"/>
        <w:sz w:val="16"/>
        <w:szCs w:val="16"/>
      </w:rPr>
      <w:fldChar w:fldCharType="separate"/>
    </w:r>
    <w:r w:rsidR="009C41FE">
      <w:rPr>
        <w:rFonts w:ascii="Arial" w:eastAsia="Arial" w:hAnsi="Arial" w:cs="Arial"/>
        <w:b/>
        <w:bCs/>
        <w:noProof/>
        <w:color w:val="000000"/>
        <w:sz w:val="16"/>
        <w:szCs w:val="16"/>
      </w:rPr>
      <w:t>2</w:t>
    </w:r>
    <w:r>
      <w:rPr>
        <w:rFonts w:ascii="Arial" w:eastAsia="Arial" w:hAnsi="Arial" w:cs="Arial"/>
        <w:b/>
        <w:bCs/>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92360" w14:textId="77777777" w:rsidR="002B0C8F" w:rsidRDefault="002B0C8F">
      <w:pPr>
        <w:spacing w:after="0" w:line="240" w:lineRule="auto"/>
      </w:pPr>
      <w:r>
        <w:separator/>
      </w:r>
    </w:p>
  </w:footnote>
  <w:footnote w:type="continuationSeparator" w:id="0">
    <w:p w14:paraId="1DAD7DCD" w14:textId="77777777" w:rsidR="002B0C8F" w:rsidRDefault="002B0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96AFB" w14:textId="77777777" w:rsidR="00B54C0B" w:rsidRDefault="00000000">
    <w:r>
      <w:rPr>
        <w:noProof/>
      </w:rPr>
      <w:drawing>
        <wp:anchor distT="0" distB="0" distL="114300" distR="114300" simplePos="0" relativeHeight="251658240" behindDoc="0" locked="0" layoutInCell="1" hidden="0" allowOverlap="1" wp14:anchorId="68E11273" wp14:editId="1D8DBCD7">
          <wp:simplePos x="0" y="0"/>
          <wp:positionH relativeFrom="page">
            <wp:posOffset>2523490</wp:posOffset>
          </wp:positionH>
          <wp:positionV relativeFrom="page">
            <wp:posOffset>152400</wp:posOffset>
          </wp:positionV>
          <wp:extent cx="2718435" cy="682625"/>
          <wp:effectExtent l="0" t="0" r="0" b="0"/>
          <wp:wrapSquare wrapText="bothSides" distT="0" distB="0" distL="114300" distR="114300"/>
          <wp:docPr id="176832249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18435" cy="6826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76F5C" w14:textId="77777777" w:rsidR="00B54C0B" w:rsidRDefault="00000000">
    <w:pPr>
      <w:pBdr>
        <w:top w:val="nil"/>
        <w:left w:val="nil"/>
        <w:bottom w:val="nil"/>
        <w:right w:val="nil"/>
        <w:between w:val="nil"/>
      </w:pBdr>
      <w:tabs>
        <w:tab w:val="center" w:pos="4252"/>
        <w:tab w:val="right" w:pos="8504"/>
      </w:tabs>
      <w:spacing w:after="0" w:line="240" w:lineRule="auto"/>
      <w:rPr>
        <w:color w:val="000000"/>
      </w:rPr>
    </w:pPr>
    <w:r>
      <w:rPr>
        <w:noProof/>
        <w:color w:val="000000"/>
      </w:rPr>
      <w:drawing>
        <wp:anchor distT="0" distB="0" distL="114300" distR="114300" simplePos="0" relativeHeight="251659264" behindDoc="0" locked="0" layoutInCell="1" hidden="0" allowOverlap="1" wp14:anchorId="0C20F8C5" wp14:editId="67F44A99">
          <wp:simplePos x="0" y="0"/>
          <wp:positionH relativeFrom="margin">
            <wp:posOffset>1200150</wp:posOffset>
          </wp:positionH>
          <wp:positionV relativeFrom="margin">
            <wp:posOffset>-756914</wp:posOffset>
          </wp:positionV>
          <wp:extent cx="2719643" cy="759149"/>
          <wp:effectExtent l="0" t="0" r="0" b="0"/>
          <wp:wrapSquare wrapText="bothSides" distT="0" distB="0" distL="114300" distR="114300"/>
          <wp:docPr id="176832249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2719643" cy="75914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3439F"/>
    <w:multiLevelType w:val="multilevel"/>
    <w:tmpl w:val="FB5A5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8C2B3D"/>
    <w:multiLevelType w:val="multilevel"/>
    <w:tmpl w:val="0C78B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E3776E"/>
    <w:multiLevelType w:val="multilevel"/>
    <w:tmpl w:val="F3CC8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001D83"/>
    <w:multiLevelType w:val="multilevel"/>
    <w:tmpl w:val="B008A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69401D"/>
    <w:multiLevelType w:val="multilevel"/>
    <w:tmpl w:val="C6566F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11E32C7"/>
    <w:multiLevelType w:val="multilevel"/>
    <w:tmpl w:val="6F48B68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E75D87"/>
    <w:multiLevelType w:val="multilevel"/>
    <w:tmpl w:val="87CAF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1077E1"/>
    <w:multiLevelType w:val="multilevel"/>
    <w:tmpl w:val="9D7C20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7104A5F"/>
    <w:multiLevelType w:val="multilevel"/>
    <w:tmpl w:val="C8A26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922FA1"/>
    <w:multiLevelType w:val="multilevel"/>
    <w:tmpl w:val="BF5A5C3C"/>
    <w:lvl w:ilvl="0">
      <w:start w:val="1"/>
      <w:numFmt w:val="bullet"/>
      <w:lvlText w:val="▪"/>
      <w:lvlJc w:val="left"/>
      <w:pPr>
        <w:ind w:left="963" w:hanging="284"/>
      </w:pPr>
      <w:rPr>
        <w:rFonts w:ascii="Noto Sans Symbols" w:eastAsia="Noto Sans Symbols" w:hAnsi="Noto Sans Symbols" w:cs="Noto Sans Symbols"/>
        <w:sz w:val="21"/>
        <w:szCs w:val="21"/>
      </w:rPr>
    </w:lvl>
    <w:lvl w:ilvl="1">
      <w:start w:val="1"/>
      <w:numFmt w:val="bullet"/>
      <w:lvlText w:val="▪"/>
      <w:lvlJc w:val="left"/>
      <w:pPr>
        <w:ind w:left="1400" w:hanging="360"/>
      </w:pPr>
      <w:rPr>
        <w:rFonts w:ascii="Noto Sans Symbols" w:eastAsia="Noto Sans Symbols" w:hAnsi="Noto Sans Symbols" w:cs="Noto Sans Symbols"/>
        <w:sz w:val="21"/>
        <w:szCs w:val="21"/>
      </w:rPr>
    </w:lvl>
    <w:lvl w:ilvl="2">
      <w:numFmt w:val="bullet"/>
      <w:lvlText w:val="•"/>
      <w:lvlJc w:val="left"/>
      <w:pPr>
        <w:ind w:left="2465" w:hanging="360"/>
      </w:pPr>
    </w:lvl>
    <w:lvl w:ilvl="3">
      <w:numFmt w:val="bullet"/>
      <w:lvlText w:val="•"/>
      <w:lvlJc w:val="left"/>
      <w:pPr>
        <w:ind w:left="3530" w:hanging="360"/>
      </w:pPr>
    </w:lvl>
    <w:lvl w:ilvl="4">
      <w:numFmt w:val="bullet"/>
      <w:lvlText w:val="•"/>
      <w:lvlJc w:val="left"/>
      <w:pPr>
        <w:ind w:left="4596" w:hanging="360"/>
      </w:pPr>
    </w:lvl>
    <w:lvl w:ilvl="5">
      <w:numFmt w:val="bullet"/>
      <w:lvlText w:val="•"/>
      <w:lvlJc w:val="left"/>
      <w:pPr>
        <w:ind w:left="5661" w:hanging="360"/>
      </w:pPr>
    </w:lvl>
    <w:lvl w:ilvl="6">
      <w:numFmt w:val="bullet"/>
      <w:lvlText w:val="•"/>
      <w:lvlJc w:val="left"/>
      <w:pPr>
        <w:ind w:left="6727" w:hanging="360"/>
      </w:pPr>
    </w:lvl>
    <w:lvl w:ilvl="7">
      <w:numFmt w:val="bullet"/>
      <w:lvlText w:val="•"/>
      <w:lvlJc w:val="left"/>
      <w:pPr>
        <w:ind w:left="7792" w:hanging="360"/>
      </w:pPr>
    </w:lvl>
    <w:lvl w:ilvl="8">
      <w:numFmt w:val="bullet"/>
      <w:lvlText w:val="•"/>
      <w:lvlJc w:val="left"/>
      <w:pPr>
        <w:ind w:left="8857" w:hanging="360"/>
      </w:pPr>
    </w:lvl>
  </w:abstractNum>
  <w:abstractNum w:abstractNumId="10" w15:restartNumberingAfterBreak="0">
    <w:nsid w:val="35B4784F"/>
    <w:multiLevelType w:val="multilevel"/>
    <w:tmpl w:val="9C46C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C6C3FBA"/>
    <w:multiLevelType w:val="multilevel"/>
    <w:tmpl w:val="EB268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2AC12C7"/>
    <w:multiLevelType w:val="multilevel"/>
    <w:tmpl w:val="FD10E5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F16462C"/>
    <w:multiLevelType w:val="multilevel"/>
    <w:tmpl w:val="97123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2576B95"/>
    <w:multiLevelType w:val="multilevel"/>
    <w:tmpl w:val="FED85EEA"/>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5" w15:restartNumberingAfterBreak="0">
    <w:nsid w:val="64B0071B"/>
    <w:multiLevelType w:val="multilevel"/>
    <w:tmpl w:val="9DE60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7D81989"/>
    <w:multiLevelType w:val="multilevel"/>
    <w:tmpl w:val="C09A8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98E4B92"/>
    <w:multiLevelType w:val="multilevel"/>
    <w:tmpl w:val="A48C0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D983A4E"/>
    <w:multiLevelType w:val="multilevel"/>
    <w:tmpl w:val="06064C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C885334"/>
    <w:multiLevelType w:val="multilevel"/>
    <w:tmpl w:val="67E41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D101162"/>
    <w:multiLevelType w:val="multilevel"/>
    <w:tmpl w:val="1C5EC1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983899367">
    <w:abstractNumId w:val="0"/>
  </w:num>
  <w:num w:numId="2" w16cid:durableId="1794325908">
    <w:abstractNumId w:val="16"/>
  </w:num>
  <w:num w:numId="3" w16cid:durableId="342825094">
    <w:abstractNumId w:val="10"/>
  </w:num>
  <w:num w:numId="4" w16cid:durableId="678853911">
    <w:abstractNumId w:val="8"/>
  </w:num>
  <w:num w:numId="5" w16cid:durableId="877090381">
    <w:abstractNumId w:val="11"/>
  </w:num>
  <w:num w:numId="6" w16cid:durableId="1325741554">
    <w:abstractNumId w:val="14"/>
  </w:num>
  <w:num w:numId="7" w16cid:durableId="1033847492">
    <w:abstractNumId w:val="5"/>
  </w:num>
  <w:num w:numId="8" w16cid:durableId="302931105">
    <w:abstractNumId w:val="7"/>
  </w:num>
  <w:num w:numId="9" w16cid:durableId="415446954">
    <w:abstractNumId w:val="18"/>
  </w:num>
  <w:num w:numId="10" w16cid:durableId="627856358">
    <w:abstractNumId w:val="4"/>
  </w:num>
  <w:num w:numId="11" w16cid:durableId="894707534">
    <w:abstractNumId w:val="13"/>
  </w:num>
  <w:num w:numId="12" w16cid:durableId="1621492324">
    <w:abstractNumId w:val="6"/>
  </w:num>
  <w:num w:numId="13" w16cid:durableId="1540123118">
    <w:abstractNumId w:val="17"/>
  </w:num>
  <w:num w:numId="14" w16cid:durableId="104665603">
    <w:abstractNumId w:val="20"/>
  </w:num>
  <w:num w:numId="15" w16cid:durableId="2138791145">
    <w:abstractNumId w:val="9"/>
  </w:num>
  <w:num w:numId="16" w16cid:durableId="1131555781">
    <w:abstractNumId w:val="1"/>
  </w:num>
  <w:num w:numId="17" w16cid:durableId="2134713237">
    <w:abstractNumId w:val="15"/>
  </w:num>
  <w:num w:numId="18" w16cid:durableId="356195378">
    <w:abstractNumId w:val="19"/>
  </w:num>
  <w:num w:numId="19" w16cid:durableId="369458066">
    <w:abstractNumId w:val="2"/>
  </w:num>
  <w:num w:numId="20" w16cid:durableId="1026522664">
    <w:abstractNumId w:val="3"/>
  </w:num>
  <w:num w:numId="21" w16cid:durableId="7342088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C0B"/>
    <w:rsid w:val="0015574E"/>
    <w:rsid w:val="001A71A3"/>
    <w:rsid w:val="002B0C8F"/>
    <w:rsid w:val="00640934"/>
    <w:rsid w:val="009C41FE"/>
    <w:rsid w:val="00B00F72"/>
    <w:rsid w:val="00B54C0B"/>
    <w:rsid w:val="00D00B20"/>
    <w:rsid w:val="00D80F32"/>
    <w:rsid w:val="00E27F6B"/>
    <w:rsid w:val="00EB4A2B"/>
    <w:rsid w:val="00F211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D8C18"/>
  <w15:docId w15:val="{E66B1C76-2C51-49A2-B22F-74E40A13D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40" w:line="240" w:lineRule="auto"/>
      <w:outlineLvl w:val="0"/>
    </w:pPr>
    <w:rPr>
      <w:color w:val="1F4E79"/>
      <w:sz w:val="36"/>
      <w:szCs w:val="36"/>
    </w:rPr>
  </w:style>
  <w:style w:type="paragraph" w:styleId="Ttulo2">
    <w:name w:val="heading 2"/>
    <w:basedOn w:val="Normal"/>
    <w:next w:val="Normal"/>
    <w:uiPriority w:val="9"/>
    <w:unhideWhenUsed/>
    <w:qFormat/>
    <w:pPr>
      <w:keepNext/>
      <w:keepLines/>
      <w:spacing w:before="40" w:after="0" w:line="240" w:lineRule="auto"/>
      <w:outlineLvl w:val="1"/>
    </w:pPr>
    <w:rPr>
      <w:rFonts w:ascii="Arial" w:eastAsia="Arial" w:hAnsi="Arial" w:cs="Arial"/>
      <w:b/>
      <w:bCs/>
      <w:sz w:val="24"/>
      <w:szCs w:val="24"/>
    </w:rPr>
  </w:style>
  <w:style w:type="paragraph" w:styleId="Ttulo3">
    <w:name w:val="heading 3"/>
    <w:basedOn w:val="Normal"/>
    <w:next w:val="Normal"/>
    <w:uiPriority w:val="9"/>
    <w:unhideWhenUsed/>
    <w:qFormat/>
    <w:pPr>
      <w:keepNext/>
      <w:keepLines/>
      <w:spacing w:before="40" w:after="0" w:line="240" w:lineRule="auto"/>
      <w:outlineLvl w:val="2"/>
    </w:pPr>
    <w:rPr>
      <w:color w:val="2E74B5"/>
      <w:sz w:val="28"/>
      <w:szCs w:val="28"/>
    </w:rPr>
  </w:style>
  <w:style w:type="paragraph" w:styleId="Ttulo4">
    <w:name w:val="heading 4"/>
    <w:basedOn w:val="Normal"/>
    <w:next w:val="Normal"/>
    <w:uiPriority w:val="9"/>
    <w:semiHidden/>
    <w:unhideWhenUsed/>
    <w:qFormat/>
    <w:pPr>
      <w:keepNext/>
      <w:keepLines/>
      <w:spacing w:before="40" w:after="0"/>
      <w:outlineLvl w:val="3"/>
    </w:pPr>
    <w:rPr>
      <w:color w:val="2E74B5"/>
      <w:sz w:val="24"/>
      <w:szCs w:val="24"/>
    </w:rPr>
  </w:style>
  <w:style w:type="paragraph" w:styleId="Ttulo5">
    <w:name w:val="heading 5"/>
    <w:basedOn w:val="Normal"/>
    <w:next w:val="Normal"/>
    <w:uiPriority w:val="9"/>
    <w:semiHidden/>
    <w:unhideWhenUsed/>
    <w:qFormat/>
    <w:pPr>
      <w:keepNext/>
      <w:keepLines/>
      <w:spacing w:before="40" w:after="0"/>
      <w:outlineLvl w:val="4"/>
    </w:pPr>
    <w:rPr>
      <w:smallCaps/>
      <w:color w:val="2E74B5"/>
    </w:rPr>
  </w:style>
  <w:style w:type="paragraph" w:styleId="Ttulo6">
    <w:name w:val="heading 6"/>
    <w:basedOn w:val="Normal"/>
    <w:next w:val="Normal"/>
    <w:uiPriority w:val="9"/>
    <w:semiHidden/>
    <w:unhideWhenUsed/>
    <w:qFormat/>
    <w:pPr>
      <w:keepNext/>
      <w:keepLines/>
      <w:spacing w:before="40" w:after="0"/>
      <w:outlineLvl w:val="5"/>
    </w:pPr>
    <w:rPr>
      <w:i/>
      <w:iCs/>
      <w:smallCaps/>
      <w:color w:val="1F4E79"/>
    </w:rPr>
  </w:style>
  <w:style w:type="paragraph" w:styleId="Ttulo7">
    <w:name w:val="heading 7"/>
    <w:basedOn w:val="Normal"/>
    <w:next w:val="Normal"/>
    <w:link w:val="Ttulo7Car"/>
    <w:uiPriority w:val="9"/>
    <w:unhideWhenUsed/>
    <w:qFormat/>
    <w:rsid w:val="009D7D43"/>
    <w:pPr>
      <w:keepNext/>
      <w:keepLines/>
      <w:spacing w:before="40" w:after="0"/>
      <w:outlineLvl w:val="6"/>
    </w:pPr>
    <w:rPr>
      <w:rFonts w:ascii="Calibri Light" w:eastAsia="SimSun" w:hAnsi="Calibri Light"/>
      <w:b/>
      <w:bCs/>
      <w:color w:val="1F4E79"/>
    </w:rPr>
  </w:style>
  <w:style w:type="paragraph" w:styleId="Ttulo8">
    <w:name w:val="heading 8"/>
    <w:basedOn w:val="Normal"/>
    <w:next w:val="Normal"/>
    <w:link w:val="Ttulo8Car"/>
    <w:uiPriority w:val="9"/>
    <w:unhideWhenUsed/>
    <w:qFormat/>
    <w:rsid w:val="009D7D43"/>
    <w:pPr>
      <w:keepNext/>
      <w:keepLines/>
      <w:spacing w:before="40" w:after="0"/>
      <w:outlineLvl w:val="7"/>
    </w:pPr>
    <w:rPr>
      <w:rFonts w:ascii="Calibri Light" w:eastAsia="SimSun" w:hAnsi="Calibri Light"/>
      <w:b/>
      <w:bCs/>
      <w:i/>
      <w:iCs/>
      <w:color w:val="1F4E79"/>
    </w:rPr>
  </w:style>
  <w:style w:type="paragraph" w:styleId="Ttulo9">
    <w:name w:val="heading 9"/>
    <w:basedOn w:val="Normal"/>
    <w:next w:val="Normal"/>
    <w:link w:val="Ttulo9Car"/>
    <w:uiPriority w:val="9"/>
    <w:unhideWhenUsed/>
    <w:qFormat/>
    <w:rsid w:val="009D7D43"/>
    <w:pPr>
      <w:keepNext/>
      <w:keepLines/>
      <w:spacing w:before="40" w:after="0"/>
      <w:outlineLvl w:val="8"/>
    </w:pPr>
    <w:rPr>
      <w:rFonts w:ascii="Calibri Light" w:eastAsia="SimSun" w:hAnsi="Calibri Light"/>
      <w:i/>
      <w:iCs/>
      <w:color w:val="1F4E7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0" w:line="204" w:lineRule="auto"/>
    </w:pPr>
    <w:rPr>
      <w:smallCaps/>
      <w:color w:val="44546A"/>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ar">
    <w:name w:val="Título 1 Car"/>
    <w:uiPriority w:val="9"/>
    <w:rsid w:val="009D7D43"/>
    <w:rPr>
      <w:rFonts w:ascii="Calibri Light" w:eastAsia="SimSun" w:hAnsi="Calibri Light" w:cs="Times New Roman"/>
      <w:color w:val="1F4E79"/>
      <w:sz w:val="36"/>
      <w:szCs w:val="36"/>
    </w:rPr>
  </w:style>
  <w:style w:type="character" w:customStyle="1" w:styleId="Ttulo2Car">
    <w:name w:val="Título 2 Car"/>
    <w:uiPriority w:val="9"/>
    <w:rsid w:val="0070538D"/>
    <w:rPr>
      <w:rFonts w:ascii="Arial" w:eastAsia="SimSun" w:hAnsi="Arial"/>
      <w:b/>
      <w:sz w:val="24"/>
      <w:szCs w:val="32"/>
    </w:rPr>
  </w:style>
  <w:style w:type="character" w:customStyle="1" w:styleId="Ttulo3Car">
    <w:name w:val="Título 3 Car"/>
    <w:uiPriority w:val="9"/>
    <w:rsid w:val="009D7D43"/>
    <w:rPr>
      <w:rFonts w:ascii="Calibri Light" w:eastAsia="SimSun" w:hAnsi="Calibri Light" w:cs="Times New Roman"/>
      <w:color w:val="2E74B5"/>
      <w:sz w:val="28"/>
      <w:szCs w:val="28"/>
    </w:rPr>
  </w:style>
  <w:style w:type="character" w:customStyle="1" w:styleId="Ttulo4Car">
    <w:name w:val="Título 4 Car"/>
    <w:uiPriority w:val="9"/>
    <w:rsid w:val="009D7D43"/>
    <w:rPr>
      <w:rFonts w:ascii="Calibri Light" w:eastAsia="SimSun" w:hAnsi="Calibri Light" w:cs="Times New Roman"/>
      <w:color w:val="2E74B5"/>
      <w:sz w:val="24"/>
      <w:szCs w:val="24"/>
    </w:rPr>
  </w:style>
  <w:style w:type="character" w:customStyle="1" w:styleId="Ttulo5Car">
    <w:name w:val="Título 5 Car"/>
    <w:uiPriority w:val="9"/>
    <w:rsid w:val="009D7D43"/>
    <w:rPr>
      <w:rFonts w:ascii="Calibri Light" w:eastAsia="SimSun" w:hAnsi="Calibri Light" w:cs="Times New Roman"/>
      <w:caps/>
      <w:color w:val="2E74B5"/>
    </w:rPr>
  </w:style>
  <w:style w:type="character" w:customStyle="1" w:styleId="Ttulo6Car">
    <w:name w:val="Título 6 Car"/>
    <w:uiPriority w:val="9"/>
    <w:rsid w:val="009D7D43"/>
    <w:rPr>
      <w:rFonts w:ascii="Calibri Light" w:eastAsia="SimSun" w:hAnsi="Calibri Light" w:cs="Times New Roman"/>
      <w:i/>
      <w:iCs/>
      <w:caps/>
      <w:color w:val="1F4E79"/>
    </w:rPr>
  </w:style>
  <w:style w:type="character" w:customStyle="1" w:styleId="Ttulo7Car">
    <w:name w:val="Título 7 Car"/>
    <w:link w:val="Ttulo7"/>
    <w:uiPriority w:val="9"/>
    <w:rsid w:val="009D7D43"/>
    <w:rPr>
      <w:rFonts w:ascii="Calibri Light" w:eastAsia="SimSun" w:hAnsi="Calibri Light" w:cs="Times New Roman"/>
      <w:b/>
      <w:bCs/>
      <w:color w:val="1F4E79"/>
    </w:rPr>
  </w:style>
  <w:style w:type="character" w:customStyle="1" w:styleId="Ttulo8Car">
    <w:name w:val="Título 8 Car"/>
    <w:link w:val="Ttulo8"/>
    <w:uiPriority w:val="9"/>
    <w:rsid w:val="009D7D43"/>
    <w:rPr>
      <w:rFonts w:ascii="Calibri Light" w:eastAsia="SimSun" w:hAnsi="Calibri Light" w:cs="Times New Roman"/>
      <w:b/>
      <w:bCs/>
      <w:i/>
      <w:iCs/>
      <w:color w:val="1F4E79"/>
    </w:rPr>
  </w:style>
  <w:style w:type="character" w:customStyle="1" w:styleId="Ttulo9Car">
    <w:name w:val="Título 9 Car"/>
    <w:link w:val="Ttulo9"/>
    <w:uiPriority w:val="9"/>
    <w:rsid w:val="009D7D43"/>
    <w:rPr>
      <w:rFonts w:ascii="Calibri Light" w:eastAsia="SimSun" w:hAnsi="Calibri Light" w:cs="Times New Roman"/>
      <w:i/>
      <w:iCs/>
      <w:color w:val="1F4E79"/>
    </w:rPr>
  </w:style>
  <w:style w:type="paragraph" w:styleId="Encabezado">
    <w:name w:val="header"/>
    <w:basedOn w:val="Normal"/>
    <w:link w:val="EncabezadoCar"/>
    <w:uiPriority w:val="99"/>
    <w:unhideWhenUsed/>
    <w:rsid w:val="00BC4E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4E9E"/>
  </w:style>
  <w:style w:type="paragraph" w:styleId="Piedepgina">
    <w:name w:val="footer"/>
    <w:aliases w:val="pie de página"/>
    <w:basedOn w:val="Normal"/>
    <w:link w:val="PiedepginaCar"/>
    <w:uiPriority w:val="99"/>
    <w:unhideWhenUsed/>
    <w:qFormat/>
    <w:rsid w:val="00BC4E9E"/>
    <w:pPr>
      <w:tabs>
        <w:tab w:val="center" w:pos="4252"/>
        <w:tab w:val="right" w:pos="8504"/>
      </w:tabs>
      <w:spacing w:after="0" w:line="240" w:lineRule="auto"/>
    </w:pPr>
  </w:style>
  <w:style w:type="character" w:customStyle="1" w:styleId="PiedepginaCar">
    <w:name w:val="Pie de página Car"/>
    <w:aliases w:val="pie de página Car"/>
    <w:basedOn w:val="Fuentedeprrafopredeter"/>
    <w:link w:val="Piedepgina"/>
    <w:uiPriority w:val="99"/>
    <w:rsid w:val="00BC4E9E"/>
  </w:style>
  <w:style w:type="paragraph" w:styleId="Textodeglobo">
    <w:name w:val="Balloon Text"/>
    <w:basedOn w:val="Normal"/>
    <w:link w:val="TextodegloboCar"/>
    <w:uiPriority w:val="99"/>
    <w:semiHidden/>
    <w:unhideWhenUsed/>
    <w:rsid w:val="00BC4E9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BC4E9E"/>
    <w:rPr>
      <w:rFonts w:ascii="Tahoma" w:hAnsi="Tahoma" w:cs="Tahoma"/>
      <w:sz w:val="16"/>
      <w:szCs w:val="16"/>
    </w:rPr>
  </w:style>
  <w:style w:type="character" w:styleId="Hipervnculo">
    <w:name w:val="Hyperlink"/>
    <w:uiPriority w:val="99"/>
    <w:unhideWhenUsed/>
    <w:rsid w:val="0028134E"/>
    <w:rPr>
      <w:color w:val="0000FF"/>
      <w:u w:val="single"/>
    </w:rPr>
  </w:style>
  <w:style w:type="paragraph" w:styleId="Textoindependiente">
    <w:name w:val="Body Text"/>
    <w:aliases w:val="body text,bt"/>
    <w:basedOn w:val="Normal"/>
    <w:link w:val="TextoindependienteCar"/>
    <w:qFormat/>
    <w:rsid w:val="00DA11D0"/>
    <w:pPr>
      <w:spacing w:after="0" w:line="240" w:lineRule="auto"/>
      <w:jc w:val="both"/>
    </w:pPr>
    <w:rPr>
      <w:rFonts w:ascii="Arial" w:hAnsi="Arial"/>
      <w:sz w:val="24"/>
      <w:szCs w:val="20"/>
      <w:lang w:eastAsia="es-ES"/>
    </w:rPr>
  </w:style>
  <w:style w:type="character" w:customStyle="1" w:styleId="TextoindependienteCar">
    <w:name w:val="Texto independiente Car"/>
    <w:aliases w:val="body text Car,bt Car"/>
    <w:link w:val="Textoindependiente"/>
    <w:rsid w:val="00DA11D0"/>
    <w:rPr>
      <w:rFonts w:ascii="Arial" w:eastAsia="Times New Roman" w:hAnsi="Arial"/>
      <w:sz w:val="24"/>
      <w:lang w:val="es-CO"/>
    </w:rPr>
  </w:style>
  <w:style w:type="paragraph" w:styleId="Sangradetextonormal">
    <w:name w:val="Body Text Indent"/>
    <w:basedOn w:val="Normal"/>
    <w:link w:val="SangradetextonormalCar"/>
    <w:uiPriority w:val="99"/>
    <w:rsid w:val="00DA11D0"/>
    <w:pPr>
      <w:spacing w:after="0" w:line="240" w:lineRule="auto"/>
      <w:jc w:val="both"/>
    </w:pPr>
    <w:rPr>
      <w:rFonts w:ascii="Century Schoolbook" w:hAnsi="Century Schoolbook"/>
      <w:sz w:val="28"/>
      <w:szCs w:val="20"/>
      <w:lang w:eastAsia="es-ES"/>
    </w:rPr>
  </w:style>
  <w:style w:type="character" w:customStyle="1" w:styleId="SangradetextonormalCar">
    <w:name w:val="Sangría de texto normal Car"/>
    <w:link w:val="Sangradetextonormal"/>
    <w:uiPriority w:val="99"/>
    <w:rsid w:val="00DA11D0"/>
    <w:rPr>
      <w:rFonts w:ascii="Century Schoolbook" w:eastAsia="Times New Roman" w:hAnsi="Century Schoolbook"/>
      <w:sz w:val="28"/>
      <w:lang w:val="es-CO"/>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notentext,Car, Car,ft,ft1"/>
    <w:basedOn w:val="Normal"/>
    <w:link w:val="TextonotapieCar"/>
    <w:uiPriority w:val="99"/>
    <w:unhideWhenUsed/>
    <w:qFormat/>
    <w:rsid w:val="00DA11D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notentext Car"/>
    <w:link w:val="Textonotapie"/>
    <w:uiPriority w:val="99"/>
    <w:rsid w:val="00DA11D0"/>
    <w:rPr>
      <w:lang w:eastAsia="en-US"/>
    </w:rPr>
  </w:style>
  <w:style w:type="character" w:styleId="Refdenotaalpie">
    <w:name w:val="footnote reference"/>
    <w:aliases w:val="Ref. de nota al pie 2,Texto de nota al pie,16 Point,Superscript 6 Point,Ref. de nota al pie2,Ref,de nota al pie,Error-Fußnotenzeichen5,Error-Fußnotenzeichen6,Error-Fußnotenzeichen3,Nota de pie,Massilia Footnote Reference"/>
    <w:uiPriority w:val="99"/>
    <w:unhideWhenUsed/>
    <w:rsid w:val="00DA11D0"/>
    <w:rPr>
      <w:vertAlign w:val="superscript"/>
    </w:rPr>
  </w:style>
  <w:style w:type="paragraph" w:styleId="NormalWeb">
    <w:name w:val="Normal (Web)"/>
    <w:aliases w:val="Normal (Web) Car Car,Normal (Web) Car Car Car,Normal (Web) Car,Normal (Web) Car Car Car Car Car Car,Normal (Web) Car Car Car Car Car Car Car Car Car"/>
    <w:basedOn w:val="Normal"/>
    <w:uiPriority w:val="99"/>
    <w:unhideWhenUsed/>
    <w:qFormat/>
    <w:rsid w:val="00DA11D0"/>
    <w:pPr>
      <w:spacing w:before="100" w:beforeAutospacing="1" w:after="100" w:afterAutospacing="1" w:line="240" w:lineRule="auto"/>
    </w:pPr>
    <w:rPr>
      <w:rFonts w:ascii="Times New Roman" w:hAnsi="Times New Roman"/>
      <w:sz w:val="24"/>
      <w:szCs w:val="24"/>
    </w:rPr>
  </w:style>
  <w:style w:type="character" w:styleId="Fuerte">
    <w:name w:val="Strong"/>
    <w:uiPriority w:val="22"/>
    <w:qFormat/>
    <w:rsid w:val="009D7D43"/>
    <w:rPr>
      <w:b/>
      <w:bCs/>
    </w:rPr>
  </w:style>
  <w:style w:type="paragraph" w:styleId="Prrafodelista">
    <w:name w:val="List Paragraph"/>
    <w:aliases w:val="Ha,Resume Title,HOJA,Bolita,List Paragraph,Párrafo de lista4,BOLADEF,Párrafo de lista21,BOLA,Nivel 1 OS,Colorful List Accent 1,Colorful List - Accent 11,VIÑETA,VIÑETAS,Párrafo de lista2,Viñetas,Betulia Título 1,Fluvial1,List Paragraph1"/>
    <w:basedOn w:val="Normal"/>
    <w:link w:val="PrrafodelistaCar"/>
    <w:uiPriority w:val="34"/>
    <w:qFormat/>
    <w:rsid w:val="005B588A"/>
    <w:pPr>
      <w:ind w:left="720"/>
      <w:contextualSpacing/>
    </w:pPr>
  </w:style>
  <w:style w:type="character" w:customStyle="1" w:styleId="PrrafodelistaCar">
    <w:name w:val="Párrafo de lista Car"/>
    <w:aliases w:val="Ha Car,Resume Title Car,HOJA Car,Bolita Car,List Paragraph Car,Párrafo de lista4 Car,BOLADEF Car,Párrafo de lista21 Car,BOLA Car,Nivel 1 OS Car,Colorful List Accent 1 Car,Colorful List - Accent 11 Car,VIÑETA Car,VIÑETAS Car"/>
    <w:link w:val="Prrafodelista"/>
    <w:uiPriority w:val="34"/>
    <w:qFormat/>
    <w:locked/>
    <w:rsid w:val="00F80233"/>
  </w:style>
  <w:style w:type="paragraph" w:styleId="Sinespaciado">
    <w:name w:val="No Spacing"/>
    <w:link w:val="SinespaciadoCar"/>
    <w:uiPriority w:val="1"/>
    <w:qFormat/>
    <w:rsid w:val="009D7D43"/>
  </w:style>
  <w:style w:type="character" w:customStyle="1" w:styleId="SinespaciadoCar">
    <w:name w:val="Sin espaciado Car"/>
    <w:link w:val="Sinespaciado"/>
    <w:uiPriority w:val="1"/>
    <w:locked/>
    <w:rsid w:val="009E1757"/>
  </w:style>
  <w:style w:type="paragraph" w:customStyle="1" w:styleId="MARITZA3">
    <w:name w:val="MARITZA3"/>
    <w:uiPriority w:val="99"/>
    <w:qFormat/>
    <w:rsid w:val="00ED2FBD"/>
    <w:pPr>
      <w:widowControl w:val="0"/>
      <w:tabs>
        <w:tab w:val="left" w:pos="-720"/>
        <w:tab w:val="left" w:pos="0"/>
      </w:tabs>
      <w:jc w:val="both"/>
    </w:pPr>
    <w:rPr>
      <w:rFonts w:ascii="Arial" w:hAnsi="Arial"/>
      <w:sz w:val="24"/>
      <w:lang w:val="en-US" w:eastAsia="es-ES"/>
    </w:rPr>
  </w:style>
  <w:style w:type="character" w:customStyle="1" w:styleId="TtuloCar">
    <w:name w:val="Título Car"/>
    <w:uiPriority w:val="10"/>
    <w:rsid w:val="009D7D43"/>
    <w:rPr>
      <w:rFonts w:ascii="Calibri Light" w:eastAsia="SimSun" w:hAnsi="Calibri Light" w:cs="Times New Roman"/>
      <w:caps/>
      <w:color w:val="44546A"/>
      <w:spacing w:val="-15"/>
      <w:sz w:val="72"/>
      <w:szCs w:val="72"/>
    </w:rPr>
  </w:style>
  <w:style w:type="character" w:customStyle="1" w:styleId="CharacterStyle1">
    <w:name w:val="Character Style 1"/>
    <w:uiPriority w:val="99"/>
    <w:rsid w:val="00D85FCA"/>
    <w:rPr>
      <w:rFonts w:ascii="Arial" w:hAnsi="Arial" w:cs="Arial"/>
      <w:sz w:val="23"/>
      <w:szCs w:val="23"/>
    </w:rPr>
  </w:style>
  <w:style w:type="character" w:customStyle="1" w:styleId="CharacterStyle2">
    <w:name w:val="Character Style 2"/>
    <w:rsid w:val="00D85FCA"/>
    <w:rPr>
      <w:sz w:val="20"/>
      <w:szCs w:val="20"/>
    </w:rPr>
  </w:style>
  <w:style w:type="paragraph" w:customStyle="1" w:styleId="Style1">
    <w:name w:val="Style 1"/>
    <w:basedOn w:val="Normal"/>
    <w:uiPriority w:val="99"/>
    <w:qFormat/>
    <w:rsid w:val="005867DA"/>
    <w:pPr>
      <w:widowControl w:val="0"/>
      <w:autoSpaceDE w:val="0"/>
      <w:autoSpaceDN w:val="0"/>
      <w:adjustRightInd w:val="0"/>
      <w:spacing w:after="0" w:line="240" w:lineRule="auto"/>
    </w:pPr>
    <w:rPr>
      <w:rFonts w:ascii="Times New Roman" w:hAnsi="Times New Roman"/>
      <w:sz w:val="20"/>
      <w:szCs w:val="20"/>
      <w:lang w:val="en-US" w:eastAsia="es-ES"/>
    </w:rPr>
  </w:style>
  <w:style w:type="paragraph" w:customStyle="1" w:styleId="Style2">
    <w:name w:val="Style 2"/>
    <w:basedOn w:val="Normal"/>
    <w:uiPriority w:val="99"/>
    <w:qFormat/>
    <w:rsid w:val="005867DA"/>
    <w:pPr>
      <w:widowControl w:val="0"/>
      <w:autoSpaceDE w:val="0"/>
      <w:autoSpaceDN w:val="0"/>
      <w:spacing w:after="0" w:line="316" w:lineRule="auto"/>
      <w:ind w:left="792" w:hanging="288"/>
      <w:jc w:val="both"/>
    </w:pPr>
    <w:rPr>
      <w:rFonts w:ascii="Garamond" w:hAnsi="Garamond" w:cs="Garamond"/>
      <w:sz w:val="30"/>
      <w:szCs w:val="30"/>
      <w:lang w:val="en-US" w:eastAsia="es-ES"/>
    </w:rPr>
  </w:style>
  <w:style w:type="paragraph" w:styleId="Textoindependiente3">
    <w:name w:val="Body Text 3"/>
    <w:basedOn w:val="Normal"/>
    <w:link w:val="Textoindependiente3Car"/>
    <w:uiPriority w:val="99"/>
    <w:unhideWhenUsed/>
    <w:rsid w:val="00D558B1"/>
    <w:pPr>
      <w:spacing w:after="120" w:line="240" w:lineRule="auto"/>
    </w:pPr>
    <w:rPr>
      <w:sz w:val="16"/>
      <w:szCs w:val="16"/>
      <w:lang w:val="en-US" w:bidi="en-US"/>
    </w:rPr>
  </w:style>
  <w:style w:type="character" w:customStyle="1" w:styleId="Textoindependiente3Car">
    <w:name w:val="Texto independiente 3 Car"/>
    <w:link w:val="Textoindependiente3"/>
    <w:uiPriority w:val="99"/>
    <w:rsid w:val="00D558B1"/>
    <w:rPr>
      <w:rFonts w:eastAsia="Times New Roman"/>
      <w:sz w:val="16"/>
      <w:szCs w:val="16"/>
      <w:lang w:val="en-US" w:eastAsia="en-US" w:bidi="en-US"/>
    </w:rPr>
  </w:style>
  <w:style w:type="paragraph" w:customStyle="1" w:styleId="cuerpotexto">
    <w:name w:val="cuerpotexto"/>
    <w:basedOn w:val="Normal"/>
    <w:uiPriority w:val="99"/>
    <w:qFormat/>
    <w:rsid w:val="009E1757"/>
    <w:pPr>
      <w:spacing w:before="100" w:beforeAutospacing="1" w:after="100" w:afterAutospacing="1" w:line="240" w:lineRule="auto"/>
    </w:pPr>
    <w:rPr>
      <w:rFonts w:ascii="Times New Roman" w:hAnsi="Times New Roman"/>
      <w:sz w:val="24"/>
      <w:szCs w:val="24"/>
      <w:lang w:eastAsia="es-ES"/>
    </w:rPr>
  </w:style>
  <w:style w:type="paragraph" w:customStyle="1" w:styleId="Cuadrculamedia21">
    <w:name w:val="Cuadrícula media 21"/>
    <w:basedOn w:val="Normal"/>
    <w:uiPriority w:val="1"/>
    <w:qFormat/>
    <w:rsid w:val="00567BB9"/>
    <w:pPr>
      <w:spacing w:after="0" w:line="240" w:lineRule="auto"/>
    </w:pPr>
    <w:rPr>
      <w:sz w:val="24"/>
      <w:szCs w:val="32"/>
      <w:lang w:val="en-US" w:bidi="en-US"/>
    </w:rPr>
  </w:style>
  <w:style w:type="character" w:customStyle="1" w:styleId="apple-converted-space">
    <w:name w:val="apple-converted-space"/>
    <w:rsid w:val="00DD35C4"/>
  </w:style>
  <w:style w:type="paragraph" w:customStyle="1" w:styleId="Normal1">
    <w:name w:val="Normal1"/>
    <w:uiPriority w:val="99"/>
    <w:qFormat/>
    <w:rsid w:val="00C51227"/>
    <w:pPr>
      <w:spacing w:after="200" w:line="276" w:lineRule="auto"/>
    </w:pPr>
    <w:rPr>
      <w:color w:val="000000"/>
    </w:rPr>
  </w:style>
  <w:style w:type="paragraph" w:customStyle="1" w:styleId="Default">
    <w:name w:val="Default"/>
    <w:uiPriority w:val="99"/>
    <w:qFormat/>
    <w:rsid w:val="00371A09"/>
    <w:pPr>
      <w:autoSpaceDE w:val="0"/>
      <w:autoSpaceDN w:val="0"/>
      <w:adjustRightInd w:val="0"/>
    </w:pPr>
    <w:rPr>
      <w:rFonts w:ascii="Arial" w:hAnsi="Arial" w:cs="Arial"/>
      <w:color w:val="000000"/>
      <w:sz w:val="24"/>
      <w:szCs w:val="24"/>
      <w:lang w:val="es-ES" w:eastAsia="es-ES"/>
    </w:rPr>
  </w:style>
  <w:style w:type="table" w:styleId="Cuadrculaclara-nfasis1">
    <w:name w:val="Light Grid Accent 1"/>
    <w:basedOn w:val="Tablanormal"/>
    <w:uiPriority w:val="62"/>
    <w:rsid w:val="00696BD1"/>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SubttuloCar">
    <w:name w:val="Subtítulo Car"/>
    <w:uiPriority w:val="11"/>
    <w:rsid w:val="009D7D43"/>
    <w:rPr>
      <w:rFonts w:ascii="Calibri Light" w:eastAsia="SimSun" w:hAnsi="Calibri Light" w:cs="Times New Roman"/>
      <w:color w:val="5B9BD5"/>
      <w:sz w:val="28"/>
      <w:szCs w:val="28"/>
    </w:rPr>
  </w:style>
  <w:style w:type="character" w:customStyle="1" w:styleId="TextocomentarioCar">
    <w:name w:val="Texto comentario Car"/>
    <w:link w:val="Textocomentario"/>
    <w:uiPriority w:val="99"/>
    <w:rsid w:val="00A713A7"/>
    <w:rPr>
      <w:rFonts w:cs="Calibri"/>
      <w:lang w:eastAsia="es-MX"/>
    </w:rPr>
  </w:style>
  <w:style w:type="paragraph" w:styleId="Textocomentario">
    <w:name w:val="annotation text"/>
    <w:basedOn w:val="Normal"/>
    <w:link w:val="TextocomentarioCar"/>
    <w:uiPriority w:val="99"/>
    <w:unhideWhenUsed/>
    <w:rsid w:val="00A713A7"/>
    <w:pPr>
      <w:spacing w:after="0" w:line="240" w:lineRule="auto"/>
    </w:pPr>
    <w:rPr>
      <w:sz w:val="20"/>
      <w:szCs w:val="20"/>
      <w:lang w:eastAsia="es-MX"/>
    </w:rPr>
  </w:style>
  <w:style w:type="paragraph" w:styleId="Descripcin">
    <w:name w:val="caption"/>
    <w:aliases w:val="Caption Char,Caption Char Car,Epígrafe Car Car Car Car Car Car Car Car Car Car Car,fuente_normal,Imagen,A,FIGURA Car,Epigrafe Car Car,Epigrafe Car,Descripción1,Geomatica_Epígrafe,Tablas Car,Car Char Char"/>
    <w:basedOn w:val="Normal"/>
    <w:next w:val="Normal"/>
    <w:link w:val="DescripcinCar"/>
    <w:unhideWhenUsed/>
    <w:qFormat/>
    <w:rsid w:val="009D7D43"/>
    <w:pPr>
      <w:spacing w:line="240" w:lineRule="auto"/>
    </w:pPr>
    <w:rPr>
      <w:b/>
      <w:bCs/>
      <w:smallCaps/>
      <w:color w:val="44546A"/>
    </w:rPr>
  </w:style>
  <w:style w:type="character" w:customStyle="1" w:styleId="DescripcinCar">
    <w:name w:val="Descripción Car"/>
    <w:aliases w:val="Caption Char Car1,Caption Char Car Car,Epígrafe Car Car Car Car Car Car Car Car Car Car Car Car,fuente_normal Car,Imagen Car,A Car,FIGURA Car Car,Epigrafe Car Car Car,Epigrafe Car Car1,Descripción1 Car,Geomatica_Epígrafe Car"/>
    <w:link w:val="Descripcin"/>
    <w:locked/>
    <w:rsid w:val="000F34D8"/>
    <w:rPr>
      <w:b/>
      <w:bCs/>
      <w:smallCaps/>
      <w:color w:val="44546A"/>
      <w:sz w:val="22"/>
      <w:szCs w:val="22"/>
    </w:rPr>
  </w:style>
  <w:style w:type="character" w:customStyle="1" w:styleId="AsuntodelcomentarioCar">
    <w:name w:val="Asunto del comentario Car"/>
    <w:link w:val="Asuntodelcomentario"/>
    <w:uiPriority w:val="99"/>
    <w:semiHidden/>
    <w:rsid w:val="00A713A7"/>
    <w:rPr>
      <w:rFonts w:cs="Calibri"/>
      <w:b/>
      <w:bCs/>
      <w:lang w:eastAsia="es-MX"/>
    </w:rPr>
  </w:style>
  <w:style w:type="paragraph" w:styleId="Asuntodelcomentario">
    <w:name w:val="annotation subject"/>
    <w:basedOn w:val="Textocomentario"/>
    <w:next w:val="Textocomentario"/>
    <w:link w:val="AsuntodelcomentarioCar"/>
    <w:uiPriority w:val="99"/>
    <w:semiHidden/>
    <w:unhideWhenUsed/>
    <w:rsid w:val="00A713A7"/>
    <w:rPr>
      <w:b/>
      <w:bCs/>
    </w:rPr>
  </w:style>
  <w:style w:type="table" w:styleId="Tablaconcuadrcula">
    <w:name w:val="Table Grid"/>
    <w:basedOn w:val="Tablanormal"/>
    <w:uiPriority w:val="39"/>
    <w:rsid w:val="001537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
    <w:name w:val="Emphasis"/>
    <w:uiPriority w:val="20"/>
    <w:qFormat/>
    <w:rsid w:val="009D7D43"/>
    <w:rPr>
      <w:i/>
      <w:iCs/>
    </w:rPr>
  </w:style>
  <w:style w:type="paragraph" w:customStyle="1" w:styleId="Listavistosa-nfasis11">
    <w:name w:val="Lista vistosa - Énfasis 11"/>
    <w:basedOn w:val="Normal"/>
    <w:uiPriority w:val="34"/>
    <w:qFormat/>
    <w:rsid w:val="00153779"/>
    <w:pPr>
      <w:spacing w:after="0" w:line="240" w:lineRule="auto"/>
      <w:ind w:left="720"/>
      <w:contextualSpacing/>
    </w:pPr>
    <w:rPr>
      <w:sz w:val="24"/>
      <w:szCs w:val="24"/>
      <w:lang w:bidi="en-US"/>
    </w:rPr>
  </w:style>
  <w:style w:type="paragraph" w:customStyle="1" w:styleId="Cuadrculavistosa-nfasis11">
    <w:name w:val="Cuadrícula vistosa - Énfasis 11"/>
    <w:basedOn w:val="Normal"/>
    <w:next w:val="Normal"/>
    <w:link w:val="Cuadrculavistosa-nfasis1Car"/>
    <w:uiPriority w:val="29"/>
    <w:qFormat/>
    <w:rsid w:val="00153779"/>
    <w:pPr>
      <w:spacing w:after="0" w:line="240" w:lineRule="auto"/>
    </w:pPr>
    <w:rPr>
      <w:i/>
      <w:sz w:val="24"/>
      <w:szCs w:val="24"/>
      <w:lang w:bidi="en-US"/>
    </w:rPr>
  </w:style>
  <w:style w:type="character" w:customStyle="1" w:styleId="Cuadrculavistosa-nfasis1Car">
    <w:name w:val="Cuadrícula vistosa - Énfasis 1 Car"/>
    <w:link w:val="Cuadrculavistosa-nfasis11"/>
    <w:uiPriority w:val="29"/>
    <w:rsid w:val="00153779"/>
    <w:rPr>
      <w:rFonts w:eastAsia="Times New Roman"/>
      <w:i/>
      <w:sz w:val="24"/>
      <w:szCs w:val="24"/>
      <w:lang w:eastAsia="en-US" w:bidi="en-US"/>
    </w:rPr>
  </w:style>
  <w:style w:type="paragraph" w:customStyle="1" w:styleId="Sombreadoclaro-nfasis21">
    <w:name w:val="Sombreado claro - Énfasis 21"/>
    <w:basedOn w:val="Normal"/>
    <w:next w:val="Normal"/>
    <w:link w:val="Sombreadoclaro-nfasis2Car"/>
    <w:uiPriority w:val="30"/>
    <w:qFormat/>
    <w:rsid w:val="00153779"/>
    <w:pPr>
      <w:spacing w:after="0" w:line="240" w:lineRule="auto"/>
      <w:ind w:left="720" w:right="720"/>
    </w:pPr>
    <w:rPr>
      <w:b/>
      <w:i/>
      <w:sz w:val="24"/>
      <w:lang w:bidi="en-US"/>
    </w:rPr>
  </w:style>
  <w:style w:type="character" w:customStyle="1" w:styleId="Sombreadoclaro-nfasis2Car">
    <w:name w:val="Sombreado claro - Énfasis 2 Car"/>
    <w:link w:val="Sombreadoclaro-nfasis21"/>
    <w:uiPriority w:val="30"/>
    <w:rsid w:val="00153779"/>
    <w:rPr>
      <w:rFonts w:eastAsia="Times New Roman"/>
      <w:b/>
      <w:i/>
      <w:sz w:val="24"/>
      <w:szCs w:val="22"/>
      <w:lang w:eastAsia="en-US" w:bidi="en-US"/>
    </w:rPr>
  </w:style>
  <w:style w:type="character" w:styleId="nfasissutil">
    <w:name w:val="Subtle Emphasis"/>
    <w:uiPriority w:val="19"/>
    <w:qFormat/>
    <w:rsid w:val="009D7D43"/>
    <w:rPr>
      <w:i/>
      <w:iCs/>
      <w:color w:val="595959"/>
    </w:rPr>
  </w:style>
  <w:style w:type="character" w:styleId="nfasisintenso">
    <w:name w:val="Intense Emphasis"/>
    <w:uiPriority w:val="21"/>
    <w:qFormat/>
    <w:rsid w:val="009D7D43"/>
    <w:rPr>
      <w:b/>
      <w:bCs/>
      <w:i/>
      <w:iCs/>
    </w:rPr>
  </w:style>
  <w:style w:type="character" w:styleId="Referenciasutil">
    <w:name w:val="Subtle Reference"/>
    <w:uiPriority w:val="31"/>
    <w:qFormat/>
    <w:rsid w:val="009D7D43"/>
    <w:rPr>
      <w:smallCaps/>
      <w:color w:val="595959"/>
      <w:u w:val="none" w:color="7F7F7F"/>
      <w:bdr w:val="none" w:sz="0" w:space="0" w:color="auto"/>
    </w:rPr>
  </w:style>
  <w:style w:type="character" w:styleId="Referenciaintensa">
    <w:name w:val="Intense Reference"/>
    <w:uiPriority w:val="32"/>
    <w:qFormat/>
    <w:rsid w:val="009D7D43"/>
    <w:rPr>
      <w:b/>
      <w:bCs/>
      <w:smallCaps/>
      <w:color w:val="44546A"/>
      <w:u w:val="single"/>
    </w:rPr>
  </w:style>
  <w:style w:type="character" w:customStyle="1" w:styleId="Ttulodelibro">
    <w:name w:val="Título de libro"/>
    <w:uiPriority w:val="33"/>
    <w:qFormat/>
    <w:rsid w:val="00153779"/>
    <w:rPr>
      <w:rFonts w:ascii="Cambria" w:eastAsia="Times New Roman" w:hAnsi="Cambria"/>
      <w:b/>
      <w:i/>
      <w:sz w:val="24"/>
      <w:szCs w:val="24"/>
    </w:rPr>
  </w:style>
  <w:style w:type="paragraph" w:customStyle="1" w:styleId="Encabezadodetabladecontenido">
    <w:name w:val="Encabezado de tabla de contenido"/>
    <w:next w:val="Normal"/>
    <w:uiPriority w:val="39"/>
    <w:semiHidden/>
    <w:unhideWhenUsed/>
    <w:qFormat/>
    <w:rsid w:val="00153779"/>
    <w:rPr>
      <w:rFonts w:ascii="Cambria" w:hAnsi="Cambria"/>
      <w:lang w:bidi="en-US"/>
    </w:rPr>
  </w:style>
  <w:style w:type="character" w:styleId="Refdecomentario">
    <w:name w:val="annotation reference"/>
    <w:uiPriority w:val="99"/>
    <w:semiHidden/>
    <w:unhideWhenUsed/>
    <w:rsid w:val="00153779"/>
    <w:rPr>
      <w:sz w:val="16"/>
      <w:szCs w:val="16"/>
    </w:rPr>
  </w:style>
  <w:style w:type="character" w:customStyle="1" w:styleId="m5927331983076022345gmail-m2147095968034444665gmail-msocommentreference">
    <w:name w:val="m_5927331983076022345gmail-m_2147095968034444665gmail-msocommentreference"/>
    <w:rsid w:val="00153779"/>
  </w:style>
  <w:style w:type="paragraph" w:styleId="Revisin">
    <w:name w:val="Revision"/>
    <w:hidden/>
    <w:uiPriority w:val="99"/>
    <w:semiHidden/>
    <w:rsid w:val="00153779"/>
    <w:rPr>
      <w:sz w:val="24"/>
      <w:szCs w:val="24"/>
      <w:lang w:val="en-US" w:eastAsia="en-US" w:bidi="en-US"/>
    </w:rPr>
  </w:style>
  <w:style w:type="paragraph" w:styleId="TtuloTDC">
    <w:name w:val="TOC Heading"/>
    <w:next w:val="Normal"/>
    <w:uiPriority w:val="39"/>
    <w:unhideWhenUsed/>
    <w:qFormat/>
    <w:rsid w:val="009D7D43"/>
  </w:style>
  <w:style w:type="paragraph" w:styleId="TDC1">
    <w:name w:val="toc 1"/>
    <w:basedOn w:val="Normal"/>
    <w:next w:val="Normal"/>
    <w:autoRedefine/>
    <w:uiPriority w:val="39"/>
    <w:unhideWhenUsed/>
    <w:qFormat/>
    <w:rsid w:val="003514A3"/>
    <w:pPr>
      <w:tabs>
        <w:tab w:val="left" w:pos="440"/>
        <w:tab w:val="right" w:leader="dot" w:pos="9342"/>
      </w:tabs>
      <w:spacing w:after="100"/>
    </w:pPr>
  </w:style>
  <w:style w:type="paragraph" w:styleId="TDC2">
    <w:name w:val="toc 2"/>
    <w:basedOn w:val="Normal"/>
    <w:next w:val="Normal"/>
    <w:autoRedefine/>
    <w:uiPriority w:val="39"/>
    <w:unhideWhenUsed/>
    <w:qFormat/>
    <w:rsid w:val="007B74B5"/>
    <w:pPr>
      <w:tabs>
        <w:tab w:val="left" w:pos="880"/>
        <w:tab w:val="right" w:leader="dot" w:pos="9352"/>
      </w:tabs>
      <w:spacing w:after="100"/>
      <w:jc w:val="both"/>
    </w:pPr>
  </w:style>
  <w:style w:type="paragraph" w:customStyle="1" w:styleId="Tabla">
    <w:name w:val="Tabla"/>
    <w:basedOn w:val="Normal"/>
    <w:link w:val="TablaCar"/>
    <w:autoRedefine/>
    <w:qFormat/>
    <w:rsid w:val="00153779"/>
    <w:pPr>
      <w:spacing w:before="60" w:after="120" w:line="240" w:lineRule="auto"/>
      <w:jc w:val="center"/>
    </w:pPr>
    <w:rPr>
      <w:rFonts w:ascii="Arial" w:hAnsi="Arial"/>
      <w:position w:val="-6"/>
    </w:rPr>
  </w:style>
  <w:style w:type="character" w:customStyle="1" w:styleId="TablaCar">
    <w:name w:val="Tabla Car"/>
    <w:link w:val="Tabla"/>
    <w:rsid w:val="00153779"/>
    <w:rPr>
      <w:rFonts w:ascii="Arial" w:hAnsi="Arial"/>
      <w:position w:val="-6"/>
      <w:sz w:val="22"/>
      <w:szCs w:val="22"/>
      <w:lang w:eastAsia="en-US"/>
    </w:rPr>
  </w:style>
  <w:style w:type="paragraph" w:styleId="TDC3">
    <w:name w:val="toc 3"/>
    <w:basedOn w:val="Normal"/>
    <w:next w:val="Normal"/>
    <w:autoRedefine/>
    <w:uiPriority w:val="39"/>
    <w:unhideWhenUsed/>
    <w:rsid w:val="00153779"/>
    <w:pPr>
      <w:spacing w:after="100"/>
      <w:ind w:left="440"/>
    </w:pPr>
  </w:style>
  <w:style w:type="table" w:styleId="Tablaconcuadrcula1clara">
    <w:name w:val="Grid Table 1 Light"/>
    <w:basedOn w:val="Tablanormal"/>
    <w:uiPriority w:val="46"/>
    <w:rsid w:val="00153779"/>
    <w:rPr>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aconcuadrcula2-nfasis1">
    <w:name w:val="Grid Table 2 Accent 1"/>
    <w:basedOn w:val="Tablanormal"/>
    <w:uiPriority w:val="47"/>
    <w:rsid w:val="00153779"/>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2-nfasis5">
    <w:name w:val="Grid Table 2 Accent 5"/>
    <w:basedOn w:val="Tablanormal"/>
    <w:uiPriority w:val="47"/>
    <w:rsid w:val="00153779"/>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4-nfasis5">
    <w:name w:val="Grid Table 4 Accent 5"/>
    <w:basedOn w:val="Tablanormal"/>
    <w:uiPriority w:val="49"/>
    <w:rsid w:val="00153779"/>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5oscura-nfasis5">
    <w:name w:val="Grid Table 5 Dark Accent 5"/>
    <w:basedOn w:val="Tablanormal"/>
    <w:uiPriority w:val="50"/>
    <w:rsid w:val="0015377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concuadrcula4-nfasis1">
    <w:name w:val="Grid Table 4 Accent 1"/>
    <w:basedOn w:val="Tablanormal"/>
    <w:uiPriority w:val="49"/>
    <w:rsid w:val="0015377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Cita">
    <w:name w:val="Quote"/>
    <w:basedOn w:val="Normal"/>
    <w:next w:val="Normal"/>
    <w:link w:val="CitaCar"/>
    <w:uiPriority w:val="29"/>
    <w:qFormat/>
    <w:rsid w:val="009D7D43"/>
    <w:pPr>
      <w:spacing w:before="120" w:after="120"/>
      <w:ind w:left="720"/>
    </w:pPr>
    <w:rPr>
      <w:color w:val="44546A"/>
      <w:sz w:val="24"/>
      <w:szCs w:val="24"/>
    </w:rPr>
  </w:style>
  <w:style w:type="character" w:customStyle="1" w:styleId="CitaCar">
    <w:name w:val="Cita Car"/>
    <w:link w:val="Cita"/>
    <w:uiPriority w:val="29"/>
    <w:rsid w:val="009D7D43"/>
    <w:rPr>
      <w:color w:val="44546A"/>
      <w:sz w:val="24"/>
      <w:szCs w:val="24"/>
    </w:rPr>
  </w:style>
  <w:style w:type="paragraph" w:styleId="Citadestacada">
    <w:name w:val="Intense Quote"/>
    <w:basedOn w:val="Normal"/>
    <w:next w:val="Normal"/>
    <w:link w:val="CitadestacadaCar"/>
    <w:uiPriority w:val="30"/>
    <w:qFormat/>
    <w:rsid w:val="009D7D43"/>
    <w:pPr>
      <w:spacing w:before="100" w:beforeAutospacing="1" w:after="240" w:line="240" w:lineRule="auto"/>
      <w:ind w:left="720"/>
      <w:jc w:val="center"/>
    </w:pPr>
    <w:rPr>
      <w:rFonts w:ascii="Calibri Light" w:eastAsia="SimSun" w:hAnsi="Calibri Light"/>
      <w:color w:val="44546A"/>
      <w:spacing w:val="-6"/>
      <w:sz w:val="32"/>
      <w:szCs w:val="32"/>
    </w:rPr>
  </w:style>
  <w:style w:type="character" w:customStyle="1" w:styleId="CitadestacadaCar">
    <w:name w:val="Cita destacada Car"/>
    <w:link w:val="Citadestacada"/>
    <w:uiPriority w:val="30"/>
    <w:rsid w:val="009D7D43"/>
    <w:rPr>
      <w:rFonts w:ascii="Calibri Light" w:eastAsia="SimSun" w:hAnsi="Calibri Light" w:cs="Times New Roman"/>
      <w:color w:val="44546A"/>
      <w:spacing w:val="-6"/>
      <w:sz w:val="32"/>
      <w:szCs w:val="32"/>
    </w:rPr>
  </w:style>
  <w:style w:type="character" w:styleId="Ttulodellibro">
    <w:name w:val="Book Title"/>
    <w:uiPriority w:val="33"/>
    <w:qFormat/>
    <w:rsid w:val="009D7D43"/>
    <w:rPr>
      <w:b/>
      <w:bCs/>
      <w:smallCaps/>
      <w:spacing w:val="10"/>
    </w:rPr>
  </w:style>
  <w:style w:type="table" w:styleId="Tabladelista4-nfasis5">
    <w:name w:val="List Table 4 Accent 5"/>
    <w:basedOn w:val="Tablanormal"/>
    <w:uiPriority w:val="49"/>
    <w:rsid w:val="00FB17C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ContenidodeTabla">
    <w:name w:val="Contenido de Tabla"/>
    <w:basedOn w:val="Normal"/>
    <w:link w:val="ContenidodeTablaCar"/>
    <w:autoRedefine/>
    <w:qFormat/>
    <w:rsid w:val="00B34958"/>
    <w:pPr>
      <w:tabs>
        <w:tab w:val="left" w:pos="0"/>
      </w:tabs>
      <w:spacing w:after="0" w:line="240" w:lineRule="auto"/>
      <w:ind w:left="720" w:hanging="720"/>
      <w:jc w:val="both"/>
    </w:pPr>
    <w:rPr>
      <w:rFonts w:ascii="Arial" w:eastAsia="Arial Narrow" w:hAnsi="Arial" w:cs="Arial"/>
      <w:b/>
      <w:noProof/>
      <w:sz w:val="20"/>
      <w:szCs w:val="20"/>
      <w:lang w:eastAsia="en-US" w:bidi="en-US"/>
    </w:rPr>
  </w:style>
  <w:style w:type="character" w:customStyle="1" w:styleId="ContenidodeTablaCar">
    <w:name w:val="Contenido de Tabla Car"/>
    <w:basedOn w:val="Fuentedeprrafopredeter"/>
    <w:link w:val="ContenidodeTabla"/>
    <w:rsid w:val="00B34958"/>
    <w:rPr>
      <w:rFonts w:ascii="Arial" w:eastAsia="Arial Narrow" w:hAnsi="Arial" w:cs="Arial"/>
      <w:b/>
      <w:noProof/>
      <w:lang w:eastAsia="en-US" w:bidi="en-US"/>
    </w:rPr>
  </w:style>
  <w:style w:type="table" w:styleId="Tablaconcuadrcula6concolores-nfasis5">
    <w:name w:val="Grid Table 6 Colorful Accent 5"/>
    <w:basedOn w:val="Tablanormal"/>
    <w:uiPriority w:val="51"/>
    <w:rsid w:val="0011018F"/>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nfasis11">
    <w:name w:val="Tabla con cuadrícula 4 - Énfasis 11"/>
    <w:basedOn w:val="Tablanormal"/>
    <w:uiPriority w:val="49"/>
    <w:rsid w:val="00BE57ED"/>
    <w:rPr>
      <w:rFonts w:asciiTheme="minorHAnsi" w:eastAsia="MS Mincho" w:hAnsiTheme="minorHAnsi" w:cstheme="minorBidi"/>
      <w:sz w:val="24"/>
      <w:szCs w:val="24"/>
      <w:lang w:val="es-ES_tradnl"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
    <w:name w:val="Tabla con cuadrícula1"/>
    <w:basedOn w:val="Tablanormal"/>
    <w:next w:val="Tablaconcuadrcula"/>
    <w:uiPriority w:val="59"/>
    <w:rsid w:val="00BE57ED"/>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066422469535584891gmail-msolistparagraph">
    <w:name w:val="m_-8066422469535584891gmail-msolistparagraph"/>
    <w:basedOn w:val="Normal"/>
    <w:uiPriority w:val="99"/>
    <w:qFormat/>
    <w:rsid w:val="00481D42"/>
    <w:pPr>
      <w:spacing w:before="100" w:beforeAutospacing="1" w:after="100" w:afterAutospacing="1" w:line="240" w:lineRule="auto"/>
    </w:pPr>
    <w:rPr>
      <w:rFonts w:ascii="Times New Roman" w:hAnsi="Times New Roman"/>
      <w:sz w:val="24"/>
      <w:szCs w:val="24"/>
    </w:rPr>
  </w:style>
  <w:style w:type="paragraph" w:customStyle="1" w:styleId="m-1503781109626803323gmail-msolistparagraph">
    <w:name w:val="m_-1503781109626803323gmail-msolistparagraph"/>
    <w:basedOn w:val="Normal"/>
    <w:uiPriority w:val="99"/>
    <w:qFormat/>
    <w:rsid w:val="00481D42"/>
    <w:pPr>
      <w:spacing w:before="100" w:beforeAutospacing="1" w:after="100" w:afterAutospacing="1" w:line="240" w:lineRule="auto"/>
    </w:pPr>
    <w:rPr>
      <w:rFonts w:ascii="Times New Roman" w:hAnsi="Times New Roman"/>
      <w:sz w:val="24"/>
      <w:szCs w:val="24"/>
    </w:rPr>
  </w:style>
  <w:style w:type="paragraph" w:customStyle="1" w:styleId="Prrafodelista1">
    <w:name w:val="Párrafo de lista1"/>
    <w:basedOn w:val="Normal"/>
    <w:uiPriority w:val="99"/>
    <w:qFormat/>
    <w:rsid w:val="00481D42"/>
    <w:pPr>
      <w:spacing w:after="200" w:line="276" w:lineRule="auto"/>
      <w:ind w:left="720"/>
    </w:pPr>
    <w:rPr>
      <w:lang w:val="es-ES" w:eastAsia="es-ES"/>
    </w:rPr>
  </w:style>
  <w:style w:type="paragraph" w:customStyle="1" w:styleId="Sinespaciado1">
    <w:name w:val="Sin espaciado1"/>
    <w:link w:val="NoSpacingChar"/>
    <w:qFormat/>
    <w:rsid w:val="00481D42"/>
    <w:rPr>
      <w:lang w:val="es-ES" w:eastAsia="en-US"/>
    </w:rPr>
  </w:style>
  <w:style w:type="character" w:customStyle="1" w:styleId="NoSpacingChar">
    <w:name w:val="No Spacing Char"/>
    <w:link w:val="Sinespaciado1"/>
    <w:locked/>
    <w:rsid w:val="00481D42"/>
    <w:rPr>
      <w:sz w:val="22"/>
      <w:lang w:val="es-ES" w:eastAsia="en-US"/>
    </w:rPr>
  </w:style>
  <w:style w:type="character" w:customStyle="1" w:styleId="file">
    <w:name w:val="file"/>
    <w:basedOn w:val="Fuentedeprrafopredeter"/>
    <w:rsid w:val="00481D42"/>
  </w:style>
  <w:style w:type="paragraph" w:customStyle="1" w:styleId="TableParagraph">
    <w:name w:val="Table Paragraph"/>
    <w:basedOn w:val="Normal"/>
    <w:uiPriority w:val="1"/>
    <w:qFormat/>
    <w:rsid w:val="002E68E8"/>
    <w:pPr>
      <w:widowControl w:val="0"/>
      <w:autoSpaceDE w:val="0"/>
      <w:autoSpaceDN w:val="0"/>
      <w:spacing w:after="0" w:line="240" w:lineRule="auto"/>
      <w:ind w:left="69"/>
    </w:pPr>
    <w:rPr>
      <w:rFonts w:ascii="Arial" w:eastAsia="Arial" w:hAnsi="Arial" w:cs="Arial"/>
      <w:lang w:val="en-US" w:eastAsia="en-US"/>
    </w:rPr>
  </w:style>
  <w:style w:type="table" w:styleId="Tablaconcuadrcula1clara-nfasis5">
    <w:name w:val="Grid Table 1 Light Accent 5"/>
    <w:basedOn w:val="Tablanormal"/>
    <w:uiPriority w:val="46"/>
    <w:rsid w:val="002E68E8"/>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il">
    <w:name w:val="il"/>
    <w:basedOn w:val="Fuentedeprrafopredeter"/>
    <w:rsid w:val="00BC1764"/>
  </w:style>
  <w:style w:type="table" w:styleId="Tablaconcuadrcula4-nfasis3">
    <w:name w:val="Grid Table 4 Accent 3"/>
    <w:basedOn w:val="Tablanormal"/>
    <w:uiPriority w:val="49"/>
    <w:rsid w:val="00A83F2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4-nfasis4">
    <w:name w:val="Grid Table 4 Accent 4"/>
    <w:basedOn w:val="Tablanormal"/>
    <w:uiPriority w:val="49"/>
    <w:rsid w:val="0088255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4-nfasis6">
    <w:name w:val="Grid Table 4 Accent 6"/>
    <w:basedOn w:val="Tablanormal"/>
    <w:uiPriority w:val="49"/>
    <w:rsid w:val="0088255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
    <w:name w:val="Grid Table 4"/>
    <w:basedOn w:val="Tablanormal"/>
    <w:uiPriority w:val="49"/>
    <w:rsid w:val="0088255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4D53A7"/>
    <w:rPr>
      <w:rFonts w:asciiTheme="minorHAnsi" w:eastAsia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pecs-title">
    <w:name w:val="specs-title"/>
    <w:basedOn w:val="Fuentedeprrafopredeter"/>
    <w:rsid w:val="000F34D8"/>
  </w:style>
  <w:style w:type="character" w:customStyle="1" w:styleId="price">
    <w:name w:val="price"/>
    <w:basedOn w:val="Fuentedeprrafopredeter"/>
    <w:rsid w:val="000F34D8"/>
  </w:style>
  <w:style w:type="character" w:customStyle="1" w:styleId="tagred">
    <w:name w:val="tag_red"/>
    <w:basedOn w:val="Fuentedeprrafopredeter"/>
    <w:rsid w:val="000F34D8"/>
  </w:style>
  <w:style w:type="character" w:customStyle="1" w:styleId="TextonotaalfinalCar">
    <w:name w:val="Texto nota al final Car"/>
    <w:basedOn w:val="Fuentedeprrafopredeter"/>
    <w:link w:val="Textonotaalfinal"/>
    <w:uiPriority w:val="99"/>
    <w:semiHidden/>
    <w:rsid w:val="000F34D8"/>
    <w:rPr>
      <w:rFonts w:eastAsia="Calibri"/>
      <w:lang w:val="es-ES" w:eastAsia="en-US"/>
    </w:rPr>
  </w:style>
  <w:style w:type="paragraph" w:styleId="Textonotaalfinal">
    <w:name w:val="endnote text"/>
    <w:basedOn w:val="Normal"/>
    <w:link w:val="TextonotaalfinalCar"/>
    <w:uiPriority w:val="99"/>
    <w:semiHidden/>
    <w:unhideWhenUsed/>
    <w:rsid w:val="000F34D8"/>
    <w:pPr>
      <w:spacing w:after="0" w:line="240" w:lineRule="auto"/>
    </w:pPr>
    <w:rPr>
      <w:sz w:val="20"/>
      <w:szCs w:val="20"/>
      <w:lang w:val="es-ES" w:eastAsia="en-US"/>
    </w:rPr>
  </w:style>
  <w:style w:type="paragraph" w:styleId="TDC4">
    <w:name w:val="toc 4"/>
    <w:basedOn w:val="Normal"/>
    <w:next w:val="Normal"/>
    <w:autoRedefine/>
    <w:uiPriority w:val="39"/>
    <w:unhideWhenUsed/>
    <w:rsid w:val="00711413"/>
    <w:pPr>
      <w:spacing w:after="100"/>
      <w:ind w:left="660"/>
    </w:pPr>
    <w:rPr>
      <w:rFonts w:asciiTheme="minorHAnsi" w:eastAsiaTheme="minorEastAsia" w:hAnsiTheme="minorHAnsi" w:cstheme="minorBidi"/>
    </w:rPr>
  </w:style>
  <w:style w:type="paragraph" w:styleId="TDC5">
    <w:name w:val="toc 5"/>
    <w:basedOn w:val="Normal"/>
    <w:next w:val="Normal"/>
    <w:autoRedefine/>
    <w:uiPriority w:val="39"/>
    <w:unhideWhenUsed/>
    <w:rsid w:val="00711413"/>
    <w:pPr>
      <w:spacing w:after="100"/>
      <w:ind w:left="880"/>
    </w:pPr>
    <w:rPr>
      <w:rFonts w:asciiTheme="minorHAnsi" w:eastAsiaTheme="minorEastAsia" w:hAnsiTheme="minorHAnsi" w:cstheme="minorBidi"/>
    </w:rPr>
  </w:style>
  <w:style w:type="paragraph" w:styleId="TDC6">
    <w:name w:val="toc 6"/>
    <w:basedOn w:val="Normal"/>
    <w:next w:val="Normal"/>
    <w:autoRedefine/>
    <w:uiPriority w:val="39"/>
    <w:unhideWhenUsed/>
    <w:rsid w:val="00711413"/>
    <w:pPr>
      <w:spacing w:after="100"/>
      <w:ind w:left="1100"/>
    </w:pPr>
    <w:rPr>
      <w:rFonts w:asciiTheme="minorHAnsi" w:eastAsiaTheme="minorEastAsia" w:hAnsiTheme="minorHAnsi" w:cstheme="minorBidi"/>
    </w:rPr>
  </w:style>
  <w:style w:type="paragraph" w:styleId="TDC7">
    <w:name w:val="toc 7"/>
    <w:basedOn w:val="Normal"/>
    <w:next w:val="Normal"/>
    <w:autoRedefine/>
    <w:uiPriority w:val="39"/>
    <w:unhideWhenUsed/>
    <w:rsid w:val="00711413"/>
    <w:pPr>
      <w:spacing w:after="100"/>
      <w:ind w:left="1320"/>
    </w:pPr>
    <w:rPr>
      <w:rFonts w:asciiTheme="minorHAnsi" w:eastAsiaTheme="minorEastAsia" w:hAnsiTheme="minorHAnsi" w:cstheme="minorBidi"/>
    </w:rPr>
  </w:style>
  <w:style w:type="paragraph" w:styleId="TDC8">
    <w:name w:val="toc 8"/>
    <w:basedOn w:val="Normal"/>
    <w:next w:val="Normal"/>
    <w:autoRedefine/>
    <w:uiPriority w:val="39"/>
    <w:unhideWhenUsed/>
    <w:rsid w:val="00711413"/>
    <w:pPr>
      <w:spacing w:after="100"/>
      <w:ind w:left="1540"/>
    </w:pPr>
    <w:rPr>
      <w:rFonts w:asciiTheme="minorHAnsi" w:eastAsiaTheme="minorEastAsia" w:hAnsiTheme="minorHAnsi" w:cstheme="minorBidi"/>
    </w:rPr>
  </w:style>
  <w:style w:type="paragraph" w:styleId="TDC9">
    <w:name w:val="toc 9"/>
    <w:basedOn w:val="Normal"/>
    <w:next w:val="Normal"/>
    <w:autoRedefine/>
    <w:uiPriority w:val="39"/>
    <w:unhideWhenUsed/>
    <w:rsid w:val="00711413"/>
    <w:pPr>
      <w:spacing w:after="100"/>
      <w:ind w:left="1760"/>
    </w:pPr>
    <w:rPr>
      <w:rFonts w:asciiTheme="minorHAnsi" w:eastAsiaTheme="minorEastAsia" w:hAnsiTheme="minorHAnsi" w:cstheme="minorBidi"/>
    </w:rPr>
  </w:style>
  <w:style w:type="table" w:customStyle="1" w:styleId="TableNormal3">
    <w:name w:val="Table Normal"/>
    <w:uiPriority w:val="2"/>
    <w:unhideWhenUsed/>
    <w:qFormat/>
    <w:rsid w:val="0070538D"/>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4318DF"/>
    <w:rPr>
      <w:color w:val="800080" w:themeColor="followedHyperlink"/>
      <w:u w:val="single"/>
    </w:rPr>
  </w:style>
  <w:style w:type="character" w:customStyle="1" w:styleId="Mencinsinresolver1">
    <w:name w:val="Mención sin resolver1"/>
    <w:basedOn w:val="Fuentedeprrafopredeter"/>
    <w:uiPriority w:val="99"/>
    <w:semiHidden/>
    <w:unhideWhenUsed/>
    <w:rsid w:val="00EB2764"/>
    <w:rPr>
      <w:color w:val="605E5C"/>
      <w:shd w:val="clear" w:color="auto" w:fill="E1DFDD"/>
    </w:rPr>
  </w:style>
  <w:style w:type="character" w:customStyle="1" w:styleId="fieldset-legend">
    <w:name w:val="fieldset-legend"/>
    <w:basedOn w:val="Fuentedeprrafopredeter"/>
    <w:rsid w:val="006A1F11"/>
  </w:style>
  <w:style w:type="paragraph" w:customStyle="1" w:styleId="m8838579824855279602gmail-m-4771708631000324522gmail-msolistparagraph">
    <w:name w:val="m_8838579824855279602gmail-m_-4771708631000324522gmail-msolistparagraph"/>
    <w:basedOn w:val="Normal"/>
    <w:uiPriority w:val="99"/>
    <w:qFormat/>
    <w:rsid w:val="006A1F11"/>
    <w:pPr>
      <w:spacing w:before="100" w:beforeAutospacing="1" w:after="100" w:afterAutospacing="1" w:line="240" w:lineRule="auto"/>
    </w:pPr>
    <w:rPr>
      <w:rFonts w:ascii="Times New Roman" w:hAnsi="Times New Roman"/>
      <w:sz w:val="24"/>
      <w:szCs w:val="24"/>
    </w:rPr>
  </w:style>
  <w:style w:type="character" w:customStyle="1" w:styleId="nfasissutil1">
    <w:name w:val="Énfasis sutil1"/>
    <w:uiPriority w:val="19"/>
    <w:qFormat/>
    <w:rsid w:val="006A1F11"/>
    <w:rPr>
      <w:i/>
      <w:color w:val="5A5A5A"/>
    </w:rPr>
  </w:style>
  <w:style w:type="character" w:customStyle="1" w:styleId="nfasisintenso1">
    <w:name w:val="Énfasis intenso1"/>
    <w:uiPriority w:val="21"/>
    <w:qFormat/>
    <w:rsid w:val="006A1F11"/>
    <w:rPr>
      <w:b/>
      <w:i/>
      <w:sz w:val="24"/>
      <w:szCs w:val="24"/>
      <w:u w:val="single"/>
    </w:rPr>
  </w:style>
  <w:style w:type="character" w:customStyle="1" w:styleId="Referenciasutil1">
    <w:name w:val="Referencia sutil1"/>
    <w:uiPriority w:val="31"/>
    <w:qFormat/>
    <w:rsid w:val="006A1F11"/>
    <w:rPr>
      <w:sz w:val="24"/>
      <w:szCs w:val="24"/>
      <w:u w:val="single"/>
    </w:rPr>
  </w:style>
  <w:style w:type="character" w:customStyle="1" w:styleId="Referenciaintensa1">
    <w:name w:val="Referencia intensa1"/>
    <w:uiPriority w:val="32"/>
    <w:qFormat/>
    <w:rsid w:val="006A1F11"/>
    <w:rPr>
      <w:b/>
      <w:sz w:val="24"/>
      <w:u w:val="single"/>
    </w:rPr>
  </w:style>
  <w:style w:type="paragraph" w:customStyle="1" w:styleId="Estilopredeterminado">
    <w:name w:val="Estilo predeterminado"/>
    <w:uiPriority w:val="99"/>
    <w:qFormat/>
    <w:rsid w:val="006A1F11"/>
    <w:pPr>
      <w:tabs>
        <w:tab w:val="left" w:pos="708"/>
      </w:tabs>
      <w:suppressAutoHyphens/>
      <w:spacing w:after="200" w:line="276" w:lineRule="atLeast"/>
    </w:pPr>
    <w:rPr>
      <w:color w:val="00000A"/>
      <w:lang w:eastAsia="zh-CN"/>
    </w:rPr>
  </w:style>
  <w:style w:type="table" w:styleId="Tabladelista4-nfasis3">
    <w:name w:val="List Table 4 Accent 3"/>
    <w:basedOn w:val="Tablanormal"/>
    <w:uiPriority w:val="49"/>
    <w:rsid w:val="006A1F11"/>
    <w:rPr>
      <w:lang w:eastAsia="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Sinlista1">
    <w:name w:val="Sin lista1"/>
    <w:next w:val="Sinlista"/>
    <w:uiPriority w:val="99"/>
    <w:semiHidden/>
    <w:unhideWhenUsed/>
    <w:rsid w:val="006A1F11"/>
  </w:style>
  <w:style w:type="table" w:styleId="Tablaconcuadrcula1clara-nfasis3">
    <w:name w:val="Grid Table 1 Light Accent 3"/>
    <w:basedOn w:val="Tablanormal"/>
    <w:uiPriority w:val="46"/>
    <w:rsid w:val="006A1F11"/>
    <w:rPr>
      <w:lang w:eastAsia="es-MX"/>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4-nfasis31">
    <w:name w:val="Tabla de lista 4 - Énfasis 31"/>
    <w:basedOn w:val="Tablanormal"/>
    <w:next w:val="Tabladelista4-nfasis3"/>
    <w:uiPriority w:val="49"/>
    <w:rsid w:val="006A1F11"/>
    <w:rPr>
      <w:lang w:eastAsia="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Refdenotaalfinal">
    <w:name w:val="endnote reference"/>
    <w:basedOn w:val="Fuentedeprrafopredeter"/>
    <w:uiPriority w:val="99"/>
    <w:semiHidden/>
    <w:unhideWhenUsed/>
    <w:rsid w:val="006A1F11"/>
    <w:rPr>
      <w:vertAlign w:val="superscript"/>
    </w:rPr>
  </w:style>
  <w:style w:type="table" w:styleId="Tablaconcuadrcula5oscura-nfasis3">
    <w:name w:val="Grid Table 5 Dark Accent 3"/>
    <w:basedOn w:val="Tablanormal"/>
    <w:uiPriority w:val="50"/>
    <w:rsid w:val="00E33F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6concolores-nfasis3">
    <w:name w:val="Grid Table 6 Colorful Accent 3"/>
    <w:basedOn w:val="Tablanormal"/>
    <w:uiPriority w:val="51"/>
    <w:rsid w:val="002A2D9E"/>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2-nfasis3">
    <w:name w:val="Grid Table 2 Accent 3"/>
    <w:basedOn w:val="Tablanormal"/>
    <w:uiPriority w:val="47"/>
    <w:rsid w:val="00BE1358"/>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2">
    <w:name w:val="Mención sin resolver2"/>
    <w:basedOn w:val="Fuentedeprrafopredeter"/>
    <w:uiPriority w:val="99"/>
    <w:semiHidden/>
    <w:unhideWhenUsed/>
    <w:rsid w:val="00F05EFF"/>
    <w:rPr>
      <w:color w:val="605E5C"/>
      <w:shd w:val="clear" w:color="auto" w:fill="E1DFDD"/>
    </w:rPr>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3"/>
    <w:tblPr>
      <w:tblStyleRowBandSize w:val="1"/>
      <w:tblStyleColBandSize w:val="1"/>
      <w:tblCellMar>
        <w:left w:w="70" w:type="dxa"/>
        <w:right w:w="70" w:type="dxa"/>
      </w:tblCellMar>
    </w:tblPr>
  </w:style>
  <w:style w:type="table" w:customStyle="1" w:styleId="a2">
    <w:basedOn w:val="TableNormal3"/>
    <w:tblPr>
      <w:tblStyleRowBandSize w:val="1"/>
      <w:tblStyleColBandSize w:val="1"/>
      <w:tblCellMar>
        <w:left w:w="70" w:type="dxa"/>
        <w:right w:w="70" w:type="dxa"/>
      </w:tblCellMar>
    </w:tblPr>
  </w:style>
  <w:style w:type="character" w:customStyle="1" w:styleId="TextonotapieCar1">
    <w:name w:val="Texto nota pie Car1"/>
    <w:aliases w:val="Footnote Text Char Char Char Char Char Car1,Footnote Text Char Char Char Char Car1,Footnote reference Car1,FA Fu Car1,Footnote Text Cha Car1,Footnote Text Char Char Char Car1,FA Fußnotentext Car1,FA Fuﬂnotentext Car1,Car Car,ft Car"/>
    <w:basedOn w:val="Fuentedeprrafopredeter"/>
    <w:uiPriority w:val="99"/>
    <w:semiHidden/>
    <w:rsid w:val="009F23BC"/>
    <w:rPr>
      <w:sz w:val="20"/>
      <w:szCs w:val="20"/>
    </w:rPr>
  </w:style>
  <w:style w:type="character" w:customStyle="1" w:styleId="PiedepginaCar1">
    <w:name w:val="Pie de página Car1"/>
    <w:aliases w:val="pie de página Car1"/>
    <w:basedOn w:val="Fuentedeprrafopredeter"/>
    <w:uiPriority w:val="99"/>
    <w:semiHidden/>
    <w:rsid w:val="009F23BC"/>
  </w:style>
  <w:style w:type="character" w:customStyle="1" w:styleId="TextoindependienteCar1">
    <w:name w:val="Texto independiente Car1"/>
    <w:aliases w:val="body text Car1,bt Car1"/>
    <w:basedOn w:val="Fuentedeprrafopredeter"/>
    <w:semiHidden/>
    <w:rsid w:val="009F23BC"/>
  </w:style>
  <w:style w:type="character" w:customStyle="1" w:styleId="TextocomentarioCar1">
    <w:name w:val="Texto comentario Car1"/>
    <w:basedOn w:val="Fuentedeprrafopredeter"/>
    <w:uiPriority w:val="99"/>
    <w:semiHidden/>
    <w:rsid w:val="009F23BC"/>
    <w:rPr>
      <w:sz w:val="20"/>
      <w:szCs w:val="20"/>
    </w:rPr>
  </w:style>
  <w:style w:type="character" w:customStyle="1" w:styleId="Ttulo7Car1">
    <w:name w:val="Título 7 Car1"/>
    <w:basedOn w:val="Fuentedeprrafopredeter"/>
    <w:uiPriority w:val="9"/>
    <w:semiHidden/>
    <w:rsid w:val="009F23BC"/>
    <w:rPr>
      <w:rFonts w:asciiTheme="majorHAnsi" w:eastAsiaTheme="majorEastAsia" w:hAnsiTheme="majorHAnsi" w:cstheme="majorBidi"/>
      <w:i/>
      <w:iCs/>
      <w:color w:val="243F60" w:themeColor="accent1" w:themeShade="7F"/>
      <w:sz w:val="22"/>
      <w:szCs w:val="22"/>
    </w:rPr>
  </w:style>
  <w:style w:type="character" w:customStyle="1" w:styleId="Ttulo8Car1">
    <w:name w:val="Título 8 Car1"/>
    <w:basedOn w:val="Fuentedeprrafopredeter"/>
    <w:uiPriority w:val="9"/>
    <w:semiHidden/>
    <w:rsid w:val="009F23BC"/>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9F23BC"/>
    <w:rPr>
      <w:rFonts w:asciiTheme="majorHAnsi" w:eastAsiaTheme="majorEastAsia" w:hAnsiTheme="majorHAnsi" w:cstheme="majorBidi"/>
      <w:i/>
      <w:iCs/>
      <w:color w:val="272727" w:themeColor="text1" w:themeTint="D8"/>
      <w:sz w:val="21"/>
      <w:szCs w:val="21"/>
    </w:rPr>
  </w:style>
  <w:style w:type="character" w:customStyle="1" w:styleId="TtuloCar1">
    <w:name w:val="Título Car1"/>
    <w:basedOn w:val="Fuentedeprrafopredeter"/>
    <w:uiPriority w:val="10"/>
    <w:rsid w:val="009F23BC"/>
    <w:rPr>
      <w:rFonts w:asciiTheme="majorHAnsi" w:eastAsiaTheme="majorEastAsia" w:hAnsiTheme="majorHAnsi" w:cstheme="majorBidi"/>
      <w:spacing w:val="-10"/>
      <w:kern w:val="28"/>
      <w:sz w:val="56"/>
      <w:szCs w:val="56"/>
    </w:rPr>
  </w:style>
  <w:style w:type="character" w:customStyle="1" w:styleId="EncabezadoCar1">
    <w:name w:val="Encabezado Car1"/>
    <w:basedOn w:val="Fuentedeprrafopredeter"/>
    <w:uiPriority w:val="99"/>
    <w:semiHidden/>
    <w:rsid w:val="009F23BC"/>
  </w:style>
  <w:style w:type="character" w:customStyle="1" w:styleId="TextodegloboCar1">
    <w:name w:val="Texto de globo Car1"/>
    <w:basedOn w:val="Fuentedeprrafopredeter"/>
    <w:uiPriority w:val="99"/>
    <w:semiHidden/>
    <w:rsid w:val="009F23BC"/>
    <w:rPr>
      <w:rFonts w:ascii="Segoe UI" w:hAnsi="Segoe UI" w:cs="Segoe UI"/>
      <w:sz w:val="18"/>
      <w:szCs w:val="18"/>
    </w:rPr>
  </w:style>
  <w:style w:type="character" w:customStyle="1" w:styleId="SangradetextonormalCar1">
    <w:name w:val="Sangría de texto normal Car1"/>
    <w:basedOn w:val="Fuentedeprrafopredeter"/>
    <w:uiPriority w:val="99"/>
    <w:semiHidden/>
    <w:rsid w:val="009F23BC"/>
  </w:style>
  <w:style w:type="character" w:customStyle="1" w:styleId="Textoindependiente3Car1">
    <w:name w:val="Texto independiente 3 Car1"/>
    <w:basedOn w:val="Fuentedeprrafopredeter"/>
    <w:uiPriority w:val="99"/>
    <w:semiHidden/>
    <w:rsid w:val="009F23BC"/>
    <w:rPr>
      <w:sz w:val="16"/>
      <w:szCs w:val="16"/>
    </w:rPr>
  </w:style>
  <w:style w:type="character" w:customStyle="1" w:styleId="SubttuloCar1">
    <w:name w:val="Subtítulo Car1"/>
    <w:basedOn w:val="Fuentedeprrafopredeter"/>
    <w:uiPriority w:val="11"/>
    <w:rsid w:val="009F23BC"/>
    <w:rPr>
      <w:rFonts w:asciiTheme="minorHAnsi" w:eastAsiaTheme="minorEastAsia" w:hAnsiTheme="minorHAnsi" w:cstheme="minorBidi"/>
      <w:color w:val="5A5A5A" w:themeColor="text1" w:themeTint="A5"/>
      <w:spacing w:val="15"/>
    </w:rPr>
  </w:style>
  <w:style w:type="character" w:customStyle="1" w:styleId="AsuntodelcomentarioCar1">
    <w:name w:val="Asunto del comentario Car1"/>
    <w:basedOn w:val="TextocomentarioCar1"/>
    <w:uiPriority w:val="99"/>
    <w:semiHidden/>
    <w:rsid w:val="009F23BC"/>
    <w:rPr>
      <w:b/>
      <w:bCs/>
      <w:sz w:val="20"/>
      <w:szCs w:val="20"/>
    </w:rPr>
  </w:style>
  <w:style w:type="character" w:customStyle="1" w:styleId="CitaCar1">
    <w:name w:val="Cita Car1"/>
    <w:basedOn w:val="Fuentedeprrafopredeter"/>
    <w:uiPriority w:val="29"/>
    <w:rsid w:val="009F23BC"/>
    <w:rPr>
      <w:i/>
      <w:iCs/>
      <w:color w:val="404040" w:themeColor="text1" w:themeTint="BF"/>
    </w:rPr>
  </w:style>
  <w:style w:type="character" w:customStyle="1" w:styleId="CitadestacadaCar1">
    <w:name w:val="Cita destacada Car1"/>
    <w:basedOn w:val="Fuentedeprrafopredeter"/>
    <w:uiPriority w:val="30"/>
    <w:rsid w:val="009F23BC"/>
    <w:rPr>
      <w:i/>
      <w:iCs/>
      <w:color w:val="4F81BD" w:themeColor="accent1"/>
    </w:rPr>
  </w:style>
  <w:style w:type="character" w:customStyle="1" w:styleId="TextonotaalfinalCar1">
    <w:name w:val="Texto nota al final Car1"/>
    <w:basedOn w:val="Fuentedeprrafopredeter"/>
    <w:uiPriority w:val="99"/>
    <w:semiHidden/>
    <w:rsid w:val="009F23BC"/>
    <w:rPr>
      <w:sz w:val="20"/>
      <w:szCs w:val="20"/>
    </w:rPr>
  </w:style>
  <w:style w:type="table" w:customStyle="1" w:styleId="A10">
    <w:name w:val="A1"/>
    <w:basedOn w:val="Tablanormal"/>
    <w:uiPriority w:val="99"/>
    <w:rsid w:val="009F23BC"/>
    <w:pPr>
      <w:spacing w:after="200" w:line="276" w:lineRule="auto"/>
    </w:pPr>
    <w:rPr>
      <w:rFonts w:asciiTheme="minorHAnsi" w:eastAsiaTheme="minorHAnsi" w:hAnsiTheme="minorHAnsi" w:cstheme="minorBidi"/>
      <w:lang w:val="en-US" w:eastAsia="en-US"/>
    </w:rPr>
    <w:tblPr>
      <w:tblStyleRowBandSize w:val="1"/>
      <w:tblStyleColBandSize w:val="1"/>
      <w:tblInd w:w="0" w:type="nil"/>
      <w:tblCellMar>
        <w:left w:w="70" w:type="dxa"/>
        <w:right w:w="70" w:type="dxa"/>
      </w:tblCellMar>
    </w:tblPr>
  </w:style>
  <w:style w:type="table" w:customStyle="1" w:styleId="a3">
    <w:basedOn w:val="TableNormal2"/>
    <w:pPr>
      <w:spacing w:after="200" w:line="276" w:lineRule="auto"/>
    </w:pPr>
    <w:rPr>
      <w:color w:val="76923C"/>
      <w:sz w:val="24"/>
      <w:szCs w:val="24"/>
    </w:rPr>
    <w:tblPr>
      <w:tblStyleRowBandSize w:val="1"/>
      <w:tblStyleColBandSize w:val="1"/>
      <w:tblCellMar>
        <w:left w:w="70" w:type="dxa"/>
        <w:right w:w="70" w:type="dxa"/>
      </w:tblCellMar>
    </w:tblPr>
    <w:tcPr>
      <w:shd w:val="clear" w:color="auto" w:fill="EBF1DD"/>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2"/>
    <w:pPr>
      <w:spacing w:after="200" w:line="276" w:lineRule="auto"/>
    </w:pPr>
    <w:rPr>
      <w:color w:val="76923C"/>
      <w:sz w:val="24"/>
      <w:szCs w:val="24"/>
    </w:rPr>
    <w:tblPr>
      <w:tblStyleRowBandSize w:val="1"/>
      <w:tblStyleColBandSize w:val="1"/>
      <w:tblCellMar>
        <w:left w:w="70" w:type="dxa"/>
        <w:right w:w="70" w:type="dxa"/>
      </w:tblCellMar>
    </w:tblPr>
    <w:tcPr>
      <w:shd w:val="clear" w:color="auto" w:fill="EBF1DD"/>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2"/>
    <w:pPr>
      <w:spacing w:after="200" w:line="276" w:lineRule="auto"/>
    </w:pPr>
    <w:rPr>
      <w:color w:val="76923C"/>
      <w:sz w:val="24"/>
      <w:szCs w:val="24"/>
    </w:rPr>
    <w:tblPr>
      <w:tblStyleRowBandSize w:val="1"/>
      <w:tblStyleColBandSize w:val="1"/>
      <w:tblCellMar>
        <w:left w:w="70" w:type="dxa"/>
        <w:right w:w="70" w:type="dxa"/>
      </w:tblCellMar>
    </w:tblPr>
    <w:tcPr>
      <w:shd w:val="clear" w:color="auto" w:fill="EBF1DD"/>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6">
    <w:basedOn w:val="TableNormal2"/>
    <w:pPr>
      <w:spacing w:after="200" w:line="276" w:lineRule="auto"/>
    </w:pPr>
    <w:rPr>
      <w:color w:val="76923C"/>
      <w:sz w:val="24"/>
      <w:szCs w:val="24"/>
    </w:rPr>
    <w:tblPr>
      <w:tblStyleRowBandSize w:val="1"/>
      <w:tblStyleColBandSize w:val="1"/>
      <w:tblCellMar>
        <w:left w:w="70" w:type="dxa"/>
        <w:right w:w="70" w:type="dxa"/>
      </w:tblCellMar>
    </w:tblPr>
    <w:tcPr>
      <w:shd w:val="clear" w:color="auto" w:fill="EBF1DD"/>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table" w:customStyle="1" w:styleId="af">
    <w:basedOn w:val="TableNormal2"/>
    <w:tblPr>
      <w:tblStyleRowBandSize w:val="1"/>
      <w:tblStyleColBandSize w:val="1"/>
      <w:tblCellMar>
        <w:top w:w="100" w:type="dxa"/>
        <w:left w:w="100" w:type="dxa"/>
        <w:bottom w:w="100" w:type="dxa"/>
        <w:right w:w="100" w:type="dxa"/>
      </w:tblCellMar>
    </w:tblPr>
  </w:style>
  <w:style w:type="table" w:customStyle="1" w:styleId="af0">
    <w:basedOn w:val="TableNormal2"/>
    <w:tblPr>
      <w:tblStyleRowBandSize w:val="1"/>
      <w:tblStyleColBandSize w:val="1"/>
      <w:tblCellMar>
        <w:top w:w="100" w:type="dxa"/>
        <w:left w:w="100" w:type="dxa"/>
        <w:bottom w:w="100" w:type="dxa"/>
        <w:right w:w="100" w:type="dxa"/>
      </w:tblCellMar>
    </w:tblPr>
  </w:style>
  <w:style w:type="table" w:customStyle="1" w:styleId="af1">
    <w:basedOn w:val="TableNormal2"/>
    <w:tblPr>
      <w:tblStyleRowBandSize w:val="1"/>
      <w:tblStyleColBandSize w:val="1"/>
      <w:tblCellMar>
        <w:top w:w="100" w:type="dxa"/>
        <w:left w:w="100" w:type="dxa"/>
        <w:bottom w:w="100" w:type="dxa"/>
        <w:right w:w="100" w:type="dxa"/>
      </w:tblCellMar>
    </w:tblPr>
  </w:style>
  <w:style w:type="table" w:customStyle="1" w:styleId="af2">
    <w:basedOn w:val="TableNormal2"/>
    <w:tblPr>
      <w:tblStyleRowBandSize w:val="1"/>
      <w:tblStyleColBandSize w:val="1"/>
      <w:tblCellMar>
        <w:top w:w="100" w:type="dxa"/>
        <w:left w:w="100" w:type="dxa"/>
        <w:bottom w:w="100" w:type="dxa"/>
        <w:right w:w="100" w:type="dxa"/>
      </w:tblCellMar>
    </w:tblPr>
  </w:style>
  <w:style w:type="table" w:customStyle="1" w:styleId="af3">
    <w:basedOn w:val="TableNormal2"/>
    <w:tblPr>
      <w:tblStyleRowBandSize w:val="1"/>
      <w:tblStyleColBandSize w:val="1"/>
      <w:tblCellMar>
        <w:top w:w="100" w:type="dxa"/>
        <w:left w:w="100" w:type="dxa"/>
        <w:bottom w:w="100" w:type="dxa"/>
        <w:right w:w="100" w:type="dxa"/>
      </w:tblCellMar>
    </w:tblPr>
  </w:style>
  <w:style w:type="table" w:customStyle="1" w:styleId="af4">
    <w:basedOn w:val="TableNormal2"/>
    <w:tblPr>
      <w:tblStyleRowBandSize w:val="1"/>
      <w:tblStyleColBandSize w:val="1"/>
      <w:tblCellMar>
        <w:top w:w="100" w:type="dxa"/>
        <w:left w:w="100" w:type="dxa"/>
        <w:bottom w:w="100" w:type="dxa"/>
        <w:right w:w="100" w:type="dxa"/>
      </w:tblCellMar>
    </w:tblPr>
  </w:style>
  <w:style w:type="table" w:customStyle="1" w:styleId="af5">
    <w:basedOn w:val="TableNormal2"/>
    <w:tblPr>
      <w:tblStyleRowBandSize w:val="1"/>
      <w:tblStyleColBandSize w:val="1"/>
      <w:tblCellMar>
        <w:top w:w="100" w:type="dxa"/>
        <w:left w:w="100" w:type="dxa"/>
        <w:bottom w:w="100" w:type="dxa"/>
        <w:right w:w="100" w:type="dxa"/>
      </w:tblCellMar>
    </w:tblPr>
  </w:style>
  <w:style w:type="table" w:customStyle="1" w:styleId="af6">
    <w:basedOn w:val="TableNormal2"/>
    <w:tblPr>
      <w:tblStyleRowBandSize w:val="1"/>
      <w:tblStyleColBandSize w:val="1"/>
      <w:tblCellMar>
        <w:top w:w="100" w:type="dxa"/>
        <w:left w:w="100" w:type="dxa"/>
        <w:bottom w:w="100" w:type="dxa"/>
        <w:right w:w="100" w:type="dxa"/>
      </w:tblCellMar>
    </w:tblPr>
  </w:style>
  <w:style w:type="table" w:customStyle="1" w:styleId="af7">
    <w:basedOn w:val="TableNormal2"/>
    <w:tblPr>
      <w:tblStyleRowBandSize w:val="1"/>
      <w:tblStyleColBandSize w:val="1"/>
      <w:tblCellMar>
        <w:top w:w="100" w:type="dxa"/>
        <w:left w:w="100" w:type="dxa"/>
        <w:bottom w:w="100" w:type="dxa"/>
        <w:right w:w="100" w:type="dxa"/>
      </w:tblCellMar>
    </w:tblPr>
  </w:style>
  <w:style w:type="table" w:customStyle="1" w:styleId="af8">
    <w:basedOn w:val="TableNormal2"/>
    <w:tblPr>
      <w:tblStyleRowBandSize w:val="1"/>
      <w:tblStyleColBandSize w:val="1"/>
      <w:tblCellMar>
        <w:top w:w="100" w:type="dxa"/>
        <w:left w:w="100" w:type="dxa"/>
        <w:bottom w:w="100" w:type="dxa"/>
        <w:right w:w="100" w:type="dxa"/>
      </w:tblCellMar>
    </w:tblPr>
  </w:style>
  <w:style w:type="table" w:customStyle="1" w:styleId="af9">
    <w:basedOn w:val="TableNormal2"/>
    <w:pPr>
      <w:spacing w:after="200" w:line="276" w:lineRule="auto"/>
    </w:pPr>
    <w:rPr>
      <w:color w:val="76923C"/>
      <w:sz w:val="24"/>
      <w:szCs w:val="24"/>
    </w:rPr>
    <w:tblPr>
      <w:tblStyleRowBandSize w:val="1"/>
      <w:tblStyleColBandSize w:val="1"/>
      <w:tblCellMar>
        <w:left w:w="70" w:type="dxa"/>
        <w:right w:w="70" w:type="dxa"/>
      </w:tblCellMar>
    </w:tblPr>
    <w:tcPr>
      <w:shd w:val="clear" w:color="auto" w:fill="EBF1DD"/>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a">
    <w:basedOn w:val="TableNormal2"/>
    <w:pPr>
      <w:spacing w:after="200" w:line="276" w:lineRule="auto"/>
    </w:pPr>
    <w:rPr>
      <w:color w:val="76923C"/>
      <w:sz w:val="24"/>
      <w:szCs w:val="24"/>
    </w:rPr>
    <w:tblPr>
      <w:tblStyleRowBandSize w:val="1"/>
      <w:tblStyleColBandSize w:val="1"/>
      <w:tblCellMar>
        <w:left w:w="70" w:type="dxa"/>
        <w:right w:w="70" w:type="dxa"/>
      </w:tblCellMar>
    </w:tblPr>
    <w:tcPr>
      <w:shd w:val="clear" w:color="auto" w:fill="EBF1DD"/>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b">
    <w:basedOn w:val="TableNormal2"/>
    <w:tblPr>
      <w:tblStyleRowBandSize w:val="1"/>
      <w:tblStyleColBandSize w:val="1"/>
      <w:tblCellMar>
        <w:top w:w="100" w:type="dxa"/>
        <w:left w:w="100" w:type="dxa"/>
        <w:bottom w:w="100" w:type="dxa"/>
        <w:right w:w="100" w:type="dxa"/>
      </w:tblCellMar>
    </w:tblPr>
  </w:style>
  <w:style w:type="table" w:customStyle="1" w:styleId="afc">
    <w:basedOn w:val="TableNormal2"/>
    <w:tblPr>
      <w:tblStyleRowBandSize w:val="1"/>
      <w:tblStyleColBandSize w:val="1"/>
      <w:tblCellMar>
        <w:top w:w="100" w:type="dxa"/>
        <w:left w:w="100" w:type="dxa"/>
        <w:bottom w:w="100" w:type="dxa"/>
        <w:right w:w="100" w:type="dxa"/>
      </w:tblCellMar>
    </w:tblPr>
  </w:style>
  <w:style w:type="table" w:customStyle="1" w:styleId="afd">
    <w:basedOn w:val="TableNormal2"/>
    <w:tblPr>
      <w:tblStyleRowBandSize w:val="1"/>
      <w:tblStyleColBandSize w:val="1"/>
      <w:tblCellMar>
        <w:top w:w="100" w:type="dxa"/>
        <w:left w:w="100" w:type="dxa"/>
        <w:bottom w:w="100" w:type="dxa"/>
        <w:right w:w="100" w:type="dxa"/>
      </w:tblCellMar>
    </w:tblPr>
  </w:style>
  <w:style w:type="table" w:customStyle="1" w:styleId="afe">
    <w:basedOn w:val="TableNormal2"/>
    <w:tblPr>
      <w:tblStyleRowBandSize w:val="1"/>
      <w:tblStyleColBandSize w:val="1"/>
      <w:tblCellMar>
        <w:top w:w="100" w:type="dxa"/>
        <w:left w:w="100" w:type="dxa"/>
        <w:bottom w:w="100" w:type="dxa"/>
        <w:right w:w="100" w:type="dxa"/>
      </w:tblCellMar>
    </w:tblPr>
  </w:style>
  <w:style w:type="table" w:customStyle="1" w:styleId="aff">
    <w:basedOn w:val="TableNormal2"/>
    <w:tblPr>
      <w:tblStyleRowBandSize w:val="1"/>
      <w:tblStyleColBandSize w:val="1"/>
      <w:tblCellMar>
        <w:top w:w="100" w:type="dxa"/>
        <w:left w:w="100" w:type="dxa"/>
        <w:bottom w:w="100" w:type="dxa"/>
        <w:right w:w="100" w:type="dxa"/>
      </w:tblCellMar>
    </w:tblPr>
  </w:style>
  <w:style w:type="table" w:customStyle="1" w:styleId="aff0">
    <w:basedOn w:val="TableNormal2"/>
    <w:tblPr>
      <w:tblStyleRowBandSize w:val="1"/>
      <w:tblStyleColBandSize w:val="1"/>
      <w:tblCellMar>
        <w:top w:w="100" w:type="dxa"/>
        <w:left w:w="100" w:type="dxa"/>
        <w:bottom w:w="100" w:type="dxa"/>
        <w:right w:w="100" w:type="dxa"/>
      </w:tblCellMar>
    </w:tblPr>
  </w:style>
  <w:style w:type="table" w:customStyle="1" w:styleId="aff1">
    <w:basedOn w:val="TableNormal2"/>
    <w:tblPr>
      <w:tblStyleRowBandSize w:val="1"/>
      <w:tblStyleColBandSize w:val="1"/>
      <w:tblCellMar>
        <w:top w:w="100" w:type="dxa"/>
        <w:left w:w="100" w:type="dxa"/>
        <w:bottom w:w="100" w:type="dxa"/>
        <w:right w:w="100" w:type="dxa"/>
      </w:tblCellMar>
    </w:tblPr>
  </w:style>
  <w:style w:type="table" w:customStyle="1" w:styleId="aff2">
    <w:basedOn w:val="TableNormal2"/>
    <w:tblPr>
      <w:tblStyleRowBandSize w:val="1"/>
      <w:tblStyleColBandSize w:val="1"/>
      <w:tblCellMar>
        <w:top w:w="100" w:type="dxa"/>
        <w:left w:w="100" w:type="dxa"/>
        <w:bottom w:w="100" w:type="dxa"/>
        <w:right w:w="100" w:type="dxa"/>
      </w:tblCellMar>
    </w:tblPr>
  </w:style>
  <w:style w:type="table" w:customStyle="1" w:styleId="aff3">
    <w:basedOn w:val="TableNormal2"/>
    <w:tblPr>
      <w:tblStyleRowBandSize w:val="1"/>
      <w:tblStyleColBandSize w:val="1"/>
      <w:tblCellMar>
        <w:top w:w="100" w:type="dxa"/>
        <w:left w:w="100" w:type="dxa"/>
        <w:bottom w:w="100" w:type="dxa"/>
        <w:right w:w="100" w:type="dxa"/>
      </w:tblCellMar>
    </w:tblPr>
  </w:style>
  <w:style w:type="table" w:customStyle="1" w:styleId="aff4">
    <w:basedOn w:val="TableNormal2"/>
    <w:tblPr>
      <w:tblStyleRowBandSize w:val="1"/>
      <w:tblStyleColBandSize w:val="1"/>
      <w:tblCellMar>
        <w:top w:w="100" w:type="dxa"/>
        <w:left w:w="100" w:type="dxa"/>
        <w:bottom w:w="100" w:type="dxa"/>
        <w:right w:w="100" w:type="dxa"/>
      </w:tblCellMar>
    </w:tblPr>
  </w:style>
  <w:style w:type="table" w:customStyle="1" w:styleId="aff5">
    <w:basedOn w:val="TableNormal2"/>
    <w:tblPr>
      <w:tblStyleRowBandSize w:val="1"/>
      <w:tblStyleColBandSize w:val="1"/>
      <w:tblCellMar>
        <w:top w:w="100" w:type="dxa"/>
        <w:left w:w="100" w:type="dxa"/>
        <w:bottom w:w="100" w:type="dxa"/>
        <w:right w:w="100" w:type="dxa"/>
      </w:tblCellMar>
    </w:tblPr>
  </w:style>
  <w:style w:type="table" w:customStyle="1" w:styleId="aff6">
    <w:basedOn w:val="TableNormal2"/>
    <w:tblPr>
      <w:tblStyleRowBandSize w:val="1"/>
      <w:tblStyleColBandSize w:val="1"/>
      <w:tblCellMar>
        <w:top w:w="100" w:type="dxa"/>
        <w:left w:w="100" w:type="dxa"/>
        <w:bottom w:w="100" w:type="dxa"/>
        <w:right w:w="100" w:type="dxa"/>
      </w:tblCellMar>
    </w:tblPr>
  </w:style>
  <w:style w:type="table" w:customStyle="1" w:styleId="aff7">
    <w:basedOn w:val="TableNormal2"/>
    <w:tblPr>
      <w:tblStyleRowBandSize w:val="1"/>
      <w:tblStyleColBandSize w:val="1"/>
      <w:tblCellMar>
        <w:top w:w="100" w:type="dxa"/>
        <w:left w:w="100" w:type="dxa"/>
        <w:bottom w:w="100" w:type="dxa"/>
        <w:right w:w="100" w:type="dxa"/>
      </w:tblCellMar>
    </w:tblPr>
  </w:style>
  <w:style w:type="table" w:customStyle="1" w:styleId="aff8">
    <w:basedOn w:val="TableNormal2"/>
    <w:tblPr>
      <w:tblStyleRowBandSize w:val="1"/>
      <w:tblStyleColBandSize w:val="1"/>
      <w:tblCellMar>
        <w:top w:w="100" w:type="dxa"/>
        <w:left w:w="100" w:type="dxa"/>
        <w:bottom w:w="100" w:type="dxa"/>
        <w:right w:w="100" w:type="dxa"/>
      </w:tblCellMar>
    </w:tblPr>
  </w:style>
  <w:style w:type="table" w:customStyle="1" w:styleId="aff9">
    <w:basedOn w:val="TableNormal2"/>
    <w:tblPr>
      <w:tblStyleRowBandSize w:val="1"/>
      <w:tblStyleColBandSize w:val="1"/>
      <w:tblCellMar>
        <w:top w:w="100" w:type="dxa"/>
        <w:left w:w="100" w:type="dxa"/>
        <w:bottom w:w="100" w:type="dxa"/>
        <w:right w:w="100" w:type="dxa"/>
      </w:tblCellMar>
    </w:tblPr>
  </w:style>
  <w:style w:type="table" w:customStyle="1" w:styleId="affa">
    <w:basedOn w:val="TableNormal2"/>
    <w:tblPr>
      <w:tblStyleRowBandSize w:val="1"/>
      <w:tblStyleColBandSize w:val="1"/>
      <w:tblCellMar>
        <w:top w:w="100" w:type="dxa"/>
        <w:left w:w="100" w:type="dxa"/>
        <w:bottom w:w="100" w:type="dxa"/>
        <w:right w:w="100" w:type="dxa"/>
      </w:tblCellMar>
    </w:tblPr>
  </w:style>
  <w:style w:type="table" w:customStyle="1" w:styleId="affb">
    <w:basedOn w:val="TableNormal2"/>
    <w:tblPr>
      <w:tblStyleRowBandSize w:val="1"/>
      <w:tblStyleColBandSize w:val="1"/>
      <w:tblCellMar>
        <w:top w:w="100" w:type="dxa"/>
        <w:left w:w="100" w:type="dxa"/>
        <w:bottom w:w="100" w:type="dxa"/>
        <w:right w:w="100" w:type="dxa"/>
      </w:tblCellMar>
    </w:tblPr>
  </w:style>
  <w:style w:type="table" w:customStyle="1" w:styleId="affc">
    <w:basedOn w:val="TableNormal2"/>
    <w:tblPr>
      <w:tblStyleRowBandSize w:val="1"/>
      <w:tblStyleColBandSize w:val="1"/>
      <w:tblCellMar>
        <w:top w:w="100" w:type="dxa"/>
        <w:left w:w="100" w:type="dxa"/>
        <w:bottom w:w="100" w:type="dxa"/>
        <w:right w:w="100" w:type="dxa"/>
      </w:tblCellMar>
    </w:tblPr>
  </w:style>
  <w:style w:type="table" w:customStyle="1" w:styleId="affd">
    <w:basedOn w:val="TableNormal2"/>
    <w:tblPr>
      <w:tblStyleRowBandSize w:val="1"/>
      <w:tblStyleColBandSize w:val="1"/>
      <w:tblCellMar>
        <w:top w:w="100" w:type="dxa"/>
        <w:left w:w="100" w:type="dxa"/>
        <w:bottom w:w="100" w:type="dxa"/>
        <w:right w:w="100" w:type="dxa"/>
      </w:tblCellMar>
    </w:tblPr>
  </w:style>
  <w:style w:type="table" w:customStyle="1" w:styleId="affe">
    <w:basedOn w:val="TableNormal2"/>
    <w:tblPr>
      <w:tblStyleRowBandSize w:val="1"/>
      <w:tblStyleColBandSize w:val="1"/>
      <w:tblCellMar>
        <w:top w:w="100" w:type="dxa"/>
        <w:left w:w="100" w:type="dxa"/>
        <w:bottom w:w="100" w:type="dxa"/>
        <w:right w:w="100" w:type="dxa"/>
      </w:tblCellMar>
    </w:tblPr>
  </w:style>
  <w:style w:type="table" w:customStyle="1" w:styleId="afff">
    <w:basedOn w:val="TableNormal2"/>
    <w:tblPr>
      <w:tblStyleRowBandSize w:val="1"/>
      <w:tblStyleColBandSize w:val="1"/>
      <w:tblCellMar>
        <w:top w:w="100" w:type="dxa"/>
        <w:left w:w="100" w:type="dxa"/>
        <w:bottom w:w="100" w:type="dxa"/>
        <w:right w:w="100" w:type="dxa"/>
      </w:tblCellMar>
    </w:tblPr>
  </w:style>
  <w:style w:type="table" w:customStyle="1" w:styleId="afff0">
    <w:basedOn w:val="TableNormal2"/>
    <w:tblPr>
      <w:tblStyleRowBandSize w:val="1"/>
      <w:tblStyleColBandSize w:val="1"/>
      <w:tblCellMar>
        <w:top w:w="100" w:type="dxa"/>
        <w:left w:w="100" w:type="dxa"/>
        <w:bottom w:w="100" w:type="dxa"/>
        <w:right w:w="100" w:type="dxa"/>
      </w:tblCellMar>
    </w:tblPr>
  </w:style>
  <w:style w:type="table" w:customStyle="1" w:styleId="afff1">
    <w:basedOn w:val="TableNormal2"/>
    <w:tblPr>
      <w:tblStyleRowBandSize w:val="1"/>
      <w:tblStyleColBandSize w:val="1"/>
      <w:tblCellMar>
        <w:top w:w="100" w:type="dxa"/>
        <w:left w:w="100" w:type="dxa"/>
        <w:bottom w:w="100" w:type="dxa"/>
        <w:right w:w="100" w:type="dxa"/>
      </w:tblCellMar>
    </w:tblPr>
  </w:style>
  <w:style w:type="table" w:customStyle="1" w:styleId="afff2">
    <w:basedOn w:val="TableNormal2"/>
    <w:tblPr>
      <w:tblStyleRowBandSize w:val="1"/>
      <w:tblStyleColBandSize w:val="1"/>
      <w:tblCellMar>
        <w:top w:w="100" w:type="dxa"/>
        <w:left w:w="100" w:type="dxa"/>
        <w:bottom w:w="100" w:type="dxa"/>
        <w:right w:w="100" w:type="dxa"/>
      </w:tblCellMar>
    </w:tblPr>
  </w:style>
  <w:style w:type="table" w:customStyle="1" w:styleId="afff3">
    <w:basedOn w:val="TableNormal2"/>
    <w:tblPr>
      <w:tblStyleRowBandSize w:val="1"/>
      <w:tblStyleColBandSize w:val="1"/>
      <w:tblCellMar>
        <w:top w:w="100" w:type="dxa"/>
        <w:left w:w="100" w:type="dxa"/>
        <w:bottom w:w="100" w:type="dxa"/>
        <w:right w:w="100" w:type="dxa"/>
      </w:tblCellMar>
    </w:tblPr>
  </w:style>
  <w:style w:type="table" w:customStyle="1" w:styleId="afff4">
    <w:basedOn w:val="TableNormal1"/>
    <w:pPr>
      <w:spacing w:after="200" w:line="276" w:lineRule="auto"/>
    </w:pPr>
    <w:rPr>
      <w:color w:val="76923C"/>
      <w:sz w:val="24"/>
      <w:szCs w:val="24"/>
    </w:rPr>
    <w:tblPr>
      <w:tblStyleRowBandSize w:val="1"/>
      <w:tblStyleColBandSize w:val="1"/>
      <w:tblCellMar>
        <w:left w:w="115" w:type="dxa"/>
        <w:right w:w="115" w:type="dxa"/>
      </w:tblCellMar>
    </w:tblPr>
    <w:tcPr>
      <w:shd w:val="clear" w:color="auto" w:fill="EBF1DD"/>
    </w:tc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fff5">
    <w:basedOn w:val="TableNormal1"/>
    <w:pPr>
      <w:spacing w:after="200" w:line="276" w:lineRule="auto"/>
    </w:pPr>
    <w:rPr>
      <w:color w:val="76923C"/>
      <w:sz w:val="24"/>
      <w:szCs w:val="24"/>
    </w:rPr>
    <w:tblPr>
      <w:tblStyleRowBandSize w:val="1"/>
      <w:tblStyleColBandSize w:val="1"/>
      <w:tblCellMar>
        <w:left w:w="115" w:type="dxa"/>
        <w:right w:w="115" w:type="dxa"/>
      </w:tblCellMar>
    </w:tblPr>
    <w:tcPr>
      <w:shd w:val="clear" w:color="auto" w:fill="EBF1DD"/>
    </w:tc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fff6">
    <w:basedOn w:val="TableNormal1"/>
    <w:pPr>
      <w:spacing w:after="200" w:line="276" w:lineRule="auto"/>
    </w:pPr>
    <w:rPr>
      <w:color w:val="76923C"/>
      <w:sz w:val="24"/>
      <w:szCs w:val="24"/>
    </w:rPr>
    <w:tblPr>
      <w:tblStyleRowBandSize w:val="1"/>
      <w:tblStyleColBandSize w:val="1"/>
      <w:tblCellMar>
        <w:left w:w="115" w:type="dxa"/>
        <w:right w:w="115" w:type="dxa"/>
      </w:tblCellMar>
    </w:tblPr>
    <w:tcPr>
      <w:shd w:val="clear" w:color="auto" w:fill="EBF1DD"/>
    </w:tc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fff7">
    <w:basedOn w:val="TableNormal1"/>
    <w:pPr>
      <w:spacing w:after="200" w:line="276" w:lineRule="auto"/>
    </w:pPr>
    <w:rPr>
      <w:color w:val="76923C"/>
      <w:sz w:val="24"/>
      <w:szCs w:val="24"/>
    </w:rPr>
    <w:tblPr>
      <w:tblStyleRowBandSize w:val="1"/>
      <w:tblStyleColBandSize w:val="1"/>
      <w:tblCellMar>
        <w:left w:w="115" w:type="dxa"/>
        <w:right w:w="115" w:type="dxa"/>
      </w:tblCellMar>
    </w:tblPr>
    <w:tcPr>
      <w:shd w:val="clear" w:color="auto" w:fill="EBF1DD"/>
    </w:tc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fff8">
    <w:basedOn w:val="TableNormal1"/>
    <w:tblPr>
      <w:tblStyleRowBandSize w:val="1"/>
      <w:tblStyleColBandSize w:val="1"/>
      <w:tblCellMar>
        <w:top w:w="100" w:type="dxa"/>
        <w:left w:w="100" w:type="dxa"/>
        <w:bottom w:w="100" w:type="dxa"/>
        <w:right w:w="100" w:type="dxa"/>
      </w:tblCellMar>
    </w:tblPr>
  </w:style>
  <w:style w:type="table" w:customStyle="1" w:styleId="afff9">
    <w:basedOn w:val="TableNormal1"/>
    <w:tblPr>
      <w:tblStyleRowBandSize w:val="1"/>
      <w:tblStyleColBandSize w:val="1"/>
      <w:tblCellMar>
        <w:top w:w="100" w:type="dxa"/>
        <w:left w:w="100" w:type="dxa"/>
        <w:bottom w:w="100" w:type="dxa"/>
        <w:right w:w="100" w:type="dxa"/>
      </w:tblCellMar>
    </w:tblPr>
  </w:style>
  <w:style w:type="table" w:customStyle="1" w:styleId="afffa">
    <w:basedOn w:val="TableNormal1"/>
    <w:tblPr>
      <w:tblStyleRowBandSize w:val="1"/>
      <w:tblStyleColBandSize w:val="1"/>
      <w:tblCellMar>
        <w:top w:w="15" w:type="dxa"/>
        <w:left w:w="15" w:type="dxa"/>
        <w:bottom w:w="15" w:type="dxa"/>
        <w:right w:w="15" w:type="dxa"/>
      </w:tblCellMar>
    </w:tblPr>
  </w:style>
  <w:style w:type="table" w:customStyle="1" w:styleId="afffb">
    <w:basedOn w:val="TableNormal1"/>
    <w:tblPr>
      <w:tblStyleRowBandSize w:val="1"/>
      <w:tblStyleColBandSize w:val="1"/>
      <w:tblCellMar>
        <w:top w:w="15" w:type="dxa"/>
        <w:left w:w="15" w:type="dxa"/>
        <w:bottom w:w="15" w:type="dxa"/>
        <w:right w:w="15" w:type="dxa"/>
      </w:tblCellMar>
    </w:tblPr>
  </w:style>
  <w:style w:type="table" w:customStyle="1" w:styleId="afffc">
    <w:basedOn w:val="TableNormal1"/>
    <w:tblPr>
      <w:tblStyleRowBandSize w:val="1"/>
      <w:tblStyleColBandSize w:val="1"/>
      <w:tblCellMar>
        <w:top w:w="15" w:type="dxa"/>
        <w:left w:w="15" w:type="dxa"/>
        <w:bottom w:w="15" w:type="dxa"/>
        <w:right w:w="15" w:type="dxa"/>
      </w:tblCellMar>
    </w:tblPr>
  </w:style>
  <w:style w:type="table" w:customStyle="1" w:styleId="afffd">
    <w:basedOn w:val="TableNormal1"/>
    <w:tblPr>
      <w:tblStyleRowBandSize w:val="1"/>
      <w:tblStyleColBandSize w:val="1"/>
      <w:tblCellMar>
        <w:top w:w="15" w:type="dxa"/>
        <w:left w:w="15" w:type="dxa"/>
        <w:bottom w:w="15" w:type="dxa"/>
        <w:right w:w="15" w:type="dxa"/>
      </w:tblCellMar>
    </w:tblPr>
  </w:style>
  <w:style w:type="table" w:customStyle="1" w:styleId="afffe">
    <w:basedOn w:val="TableNormal1"/>
    <w:tblPr>
      <w:tblStyleRowBandSize w:val="1"/>
      <w:tblStyleColBandSize w:val="1"/>
      <w:tblCellMar>
        <w:top w:w="100" w:type="dxa"/>
        <w:left w:w="100" w:type="dxa"/>
        <w:bottom w:w="100" w:type="dxa"/>
        <w:right w:w="100" w:type="dxa"/>
      </w:tblCellMar>
    </w:tblPr>
  </w:style>
  <w:style w:type="table" w:customStyle="1" w:styleId="affff">
    <w:basedOn w:val="TableNormal1"/>
    <w:tblPr>
      <w:tblStyleRowBandSize w:val="1"/>
      <w:tblStyleColBandSize w:val="1"/>
      <w:tblCellMar>
        <w:top w:w="100" w:type="dxa"/>
        <w:left w:w="100" w:type="dxa"/>
        <w:bottom w:w="100" w:type="dxa"/>
        <w:right w:w="100" w:type="dxa"/>
      </w:tblCellMar>
    </w:tblPr>
  </w:style>
  <w:style w:type="table" w:customStyle="1" w:styleId="affff0">
    <w:basedOn w:val="TableNormal1"/>
    <w:tblPr>
      <w:tblStyleRowBandSize w:val="1"/>
      <w:tblStyleColBandSize w:val="1"/>
      <w:tblCellMar>
        <w:top w:w="100" w:type="dxa"/>
        <w:left w:w="100" w:type="dxa"/>
        <w:bottom w:w="100" w:type="dxa"/>
        <w:right w:w="100" w:type="dxa"/>
      </w:tblCellMar>
    </w:tblPr>
  </w:style>
  <w:style w:type="table" w:customStyle="1" w:styleId="affff1">
    <w:basedOn w:val="TableNormal1"/>
    <w:tblPr>
      <w:tblStyleRowBandSize w:val="1"/>
      <w:tblStyleColBandSize w:val="1"/>
      <w:tblCellMar>
        <w:top w:w="100" w:type="dxa"/>
        <w:left w:w="100" w:type="dxa"/>
        <w:bottom w:w="100" w:type="dxa"/>
        <w:right w:w="100" w:type="dxa"/>
      </w:tblCellMar>
    </w:tblPr>
  </w:style>
  <w:style w:type="table" w:customStyle="1" w:styleId="affff2">
    <w:basedOn w:val="TableNormal1"/>
    <w:tblPr>
      <w:tblStyleRowBandSize w:val="1"/>
      <w:tblStyleColBandSize w:val="1"/>
      <w:tblCellMar>
        <w:top w:w="100" w:type="dxa"/>
        <w:left w:w="100" w:type="dxa"/>
        <w:bottom w:w="100" w:type="dxa"/>
        <w:right w:w="100" w:type="dxa"/>
      </w:tblCellMar>
    </w:tblPr>
  </w:style>
  <w:style w:type="table" w:customStyle="1" w:styleId="affff3">
    <w:basedOn w:val="TableNormal1"/>
    <w:tblPr>
      <w:tblStyleRowBandSize w:val="1"/>
      <w:tblStyleColBandSize w:val="1"/>
      <w:tblCellMar>
        <w:top w:w="100" w:type="dxa"/>
        <w:left w:w="100" w:type="dxa"/>
        <w:bottom w:w="100" w:type="dxa"/>
        <w:right w:w="100" w:type="dxa"/>
      </w:tblCellMar>
    </w:tblPr>
  </w:style>
  <w:style w:type="table" w:customStyle="1" w:styleId="affff4">
    <w:basedOn w:val="TableNormal1"/>
    <w:tblPr>
      <w:tblStyleRowBandSize w:val="1"/>
      <w:tblStyleColBandSize w:val="1"/>
      <w:tblCellMar>
        <w:top w:w="100" w:type="dxa"/>
        <w:left w:w="100" w:type="dxa"/>
        <w:bottom w:w="100" w:type="dxa"/>
        <w:right w:w="100" w:type="dxa"/>
      </w:tblCellMar>
    </w:tblPr>
  </w:style>
  <w:style w:type="table" w:customStyle="1" w:styleId="affff5">
    <w:basedOn w:val="TableNormal1"/>
    <w:tblPr>
      <w:tblStyleRowBandSize w:val="1"/>
      <w:tblStyleColBandSize w:val="1"/>
      <w:tblCellMar>
        <w:top w:w="100" w:type="dxa"/>
        <w:left w:w="100" w:type="dxa"/>
        <w:bottom w:w="100" w:type="dxa"/>
        <w:right w:w="100" w:type="dxa"/>
      </w:tblCellMar>
    </w:tblPr>
  </w:style>
  <w:style w:type="table" w:customStyle="1" w:styleId="affff6">
    <w:basedOn w:val="TableNormal1"/>
    <w:tblPr>
      <w:tblStyleRowBandSize w:val="1"/>
      <w:tblStyleColBandSize w:val="1"/>
      <w:tblCellMar>
        <w:top w:w="100" w:type="dxa"/>
        <w:left w:w="100" w:type="dxa"/>
        <w:bottom w:w="100" w:type="dxa"/>
        <w:right w:w="100" w:type="dxa"/>
      </w:tblCellMar>
    </w:tblPr>
  </w:style>
  <w:style w:type="table" w:customStyle="1" w:styleId="affff7">
    <w:basedOn w:val="TableNormal1"/>
    <w:tblPr>
      <w:tblStyleRowBandSize w:val="1"/>
      <w:tblStyleColBandSize w:val="1"/>
      <w:tblCellMar>
        <w:top w:w="100" w:type="dxa"/>
        <w:left w:w="100" w:type="dxa"/>
        <w:bottom w:w="100" w:type="dxa"/>
        <w:right w:w="100" w:type="dxa"/>
      </w:tblCellMar>
    </w:tblPr>
  </w:style>
  <w:style w:type="table" w:customStyle="1" w:styleId="affff8">
    <w:basedOn w:val="TableNormal1"/>
    <w:tblPr>
      <w:tblStyleRowBandSize w:val="1"/>
      <w:tblStyleColBandSize w:val="1"/>
      <w:tblCellMar>
        <w:top w:w="100" w:type="dxa"/>
        <w:left w:w="100" w:type="dxa"/>
        <w:bottom w:w="100" w:type="dxa"/>
        <w:right w:w="100" w:type="dxa"/>
      </w:tblCellMar>
    </w:tblPr>
  </w:style>
  <w:style w:type="table" w:customStyle="1" w:styleId="affff9">
    <w:basedOn w:val="TableNormal1"/>
    <w:tblPr>
      <w:tblStyleRowBandSize w:val="1"/>
      <w:tblStyleColBandSize w:val="1"/>
      <w:tblCellMar>
        <w:top w:w="100" w:type="dxa"/>
        <w:left w:w="100" w:type="dxa"/>
        <w:bottom w:w="100" w:type="dxa"/>
        <w:right w:w="100" w:type="dxa"/>
      </w:tblCellMar>
    </w:tblPr>
  </w:style>
  <w:style w:type="table" w:customStyle="1" w:styleId="affffa">
    <w:basedOn w:val="TableNormal1"/>
    <w:tblPr>
      <w:tblStyleRowBandSize w:val="1"/>
      <w:tblStyleColBandSize w:val="1"/>
      <w:tblCellMar>
        <w:top w:w="100" w:type="dxa"/>
        <w:left w:w="100" w:type="dxa"/>
        <w:bottom w:w="100" w:type="dxa"/>
        <w:right w:w="100" w:type="dxa"/>
      </w:tblCellMar>
    </w:tblPr>
  </w:style>
  <w:style w:type="table" w:customStyle="1" w:styleId="affffb">
    <w:basedOn w:val="TableNormal1"/>
    <w:tblPr>
      <w:tblStyleRowBandSize w:val="1"/>
      <w:tblStyleColBandSize w:val="1"/>
      <w:tblCellMar>
        <w:top w:w="100" w:type="dxa"/>
        <w:left w:w="100" w:type="dxa"/>
        <w:bottom w:w="100" w:type="dxa"/>
        <w:right w:w="100" w:type="dxa"/>
      </w:tblCellMar>
    </w:tblPr>
  </w:style>
  <w:style w:type="table" w:customStyle="1" w:styleId="affffc">
    <w:basedOn w:val="TableNormal1"/>
    <w:tblPr>
      <w:tblStyleRowBandSize w:val="1"/>
      <w:tblStyleColBandSize w:val="1"/>
      <w:tblCellMar>
        <w:top w:w="100" w:type="dxa"/>
        <w:left w:w="100" w:type="dxa"/>
        <w:bottom w:w="100" w:type="dxa"/>
        <w:right w:w="100" w:type="dxa"/>
      </w:tblCellMar>
    </w:tblPr>
  </w:style>
  <w:style w:type="table" w:customStyle="1" w:styleId="affffd">
    <w:basedOn w:val="TableNormal1"/>
    <w:tblPr>
      <w:tblStyleRowBandSize w:val="1"/>
      <w:tblStyleColBandSize w:val="1"/>
      <w:tblCellMar>
        <w:top w:w="100" w:type="dxa"/>
        <w:left w:w="100" w:type="dxa"/>
        <w:bottom w:w="100" w:type="dxa"/>
        <w:right w:w="100" w:type="dxa"/>
      </w:tblCellMar>
    </w:tblPr>
  </w:style>
  <w:style w:type="table" w:customStyle="1" w:styleId="affffe">
    <w:basedOn w:val="TableNormal1"/>
    <w:tblPr>
      <w:tblStyleRowBandSize w:val="1"/>
      <w:tblStyleColBandSize w:val="1"/>
      <w:tblCellMar>
        <w:top w:w="100" w:type="dxa"/>
        <w:left w:w="100" w:type="dxa"/>
        <w:bottom w:w="100" w:type="dxa"/>
        <w:right w:w="100" w:type="dxa"/>
      </w:tblCellMar>
    </w:tblPr>
  </w:style>
  <w:style w:type="table" w:customStyle="1" w:styleId="afffff">
    <w:basedOn w:val="TableNormal1"/>
    <w:tblPr>
      <w:tblStyleRowBandSize w:val="1"/>
      <w:tblStyleColBandSize w:val="1"/>
      <w:tblCellMar>
        <w:top w:w="100" w:type="dxa"/>
        <w:left w:w="100" w:type="dxa"/>
        <w:bottom w:w="100" w:type="dxa"/>
        <w:right w:w="100" w:type="dxa"/>
      </w:tblCellMar>
    </w:tblPr>
  </w:style>
  <w:style w:type="table" w:customStyle="1" w:styleId="afffff0">
    <w:basedOn w:val="TableNormal1"/>
    <w:tblPr>
      <w:tblStyleRowBandSize w:val="1"/>
      <w:tblStyleColBandSize w:val="1"/>
      <w:tblCellMar>
        <w:top w:w="100" w:type="dxa"/>
        <w:left w:w="100" w:type="dxa"/>
        <w:bottom w:w="100" w:type="dxa"/>
        <w:right w:w="100" w:type="dxa"/>
      </w:tblCellMar>
    </w:tblPr>
  </w:style>
  <w:style w:type="table" w:customStyle="1" w:styleId="afffff1">
    <w:basedOn w:val="TableNormal1"/>
    <w:tblPr>
      <w:tblStyleRowBandSize w:val="1"/>
      <w:tblStyleColBandSize w:val="1"/>
      <w:tblCellMar>
        <w:top w:w="100" w:type="dxa"/>
        <w:left w:w="100" w:type="dxa"/>
        <w:bottom w:w="100" w:type="dxa"/>
        <w:right w:w="100" w:type="dxa"/>
      </w:tblCellMar>
    </w:tblPr>
  </w:style>
  <w:style w:type="table" w:customStyle="1" w:styleId="afffff2">
    <w:basedOn w:val="TableNormal1"/>
    <w:tblPr>
      <w:tblStyleRowBandSize w:val="1"/>
      <w:tblStyleColBandSize w:val="1"/>
    </w:tblPr>
  </w:style>
  <w:style w:type="table" w:customStyle="1" w:styleId="afffff3">
    <w:basedOn w:val="TableNormal1"/>
    <w:tblPr>
      <w:tblStyleRowBandSize w:val="1"/>
      <w:tblStyleColBandSize w:val="1"/>
    </w:tblPr>
  </w:style>
  <w:style w:type="table" w:customStyle="1" w:styleId="afffff4">
    <w:basedOn w:val="TableNormal1"/>
    <w:tblPr>
      <w:tblStyleRowBandSize w:val="1"/>
      <w:tblStyleColBandSize w:val="1"/>
    </w:tblPr>
  </w:style>
  <w:style w:type="table" w:customStyle="1" w:styleId="afffff5">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spacing w:after="240" w:line="240" w:lineRule="auto"/>
    </w:pPr>
    <w:rPr>
      <w:color w:val="5B9BD5"/>
      <w:sz w:val="28"/>
      <w:szCs w:val="28"/>
    </w:rPr>
  </w:style>
  <w:style w:type="table" w:customStyle="1" w:styleId="afffff6">
    <w:basedOn w:val="TableNormal0"/>
    <w:pPr>
      <w:spacing w:after="200" w:line="276" w:lineRule="auto"/>
    </w:pPr>
    <w:rPr>
      <w:color w:val="76923C"/>
      <w:sz w:val="24"/>
      <w:szCs w:val="24"/>
    </w:rPr>
    <w:tblPr>
      <w:tblStyleRowBandSize w:val="1"/>
      <w:tblStyleColBandSize w:val="1"/>
      <w:tblCellMar>
        <w:top w:w="0" w:type="dxa"/>
        <w:left w:w="115" w:type="dxa"/>
        <w:bottom w:w="0" w:type="dxa"/>
        <w:right w:w="115" w:type="dxa"/>
      </w:tblCellMar>
    </w:tblPr>
    <w:tcPr>
      <w:shd w:val="clear" w:color="auto" w:fill="EBF1DD"/>
    </w:tc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fffff7">
    <w:basedOn w:val="TableNormal0"/>
    <w:pPr>
      <w:spacing w:after="200" w:line="276" w:lineRule="auto"/>
    </w:pPr>
    <w:rPr>
      <w:color w:val="76923C"/>
      <w:sz w:val="24"/>
      <w:szCs w:val="24"/>
    </w:rPr>
    <w:tblPr>
      <w:tblStyleRowBandSize w:val="1"/>
      <w:tblStyleColBandSize w:val="1"/>
      <w:tblCellMar>
        <w:top w:w="0" w:type="dxa"/>
        <w:left w:w="115" w:type="dxa"/>
        <w:bottom w:w="0" w:type="dxa"/>
        <w:right w:w="115" w:type="dxa"/>
      </w:tblCellMar>
    </w:tblPr>
    <w:tcPr>
      <w:shd w:val="clear" w:color="auto" w:fill="EBF1DD"/>
    </w:tc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fffff8">
    <w:basedOn w:val="TableNormal0"/>
    <w:tblPr>
      <w:tblStyleRowBandSize w:val="1"/>
      <w:tblStyleColBandSize w:val="1"/>
      <w:tblCellMar>
        <w:top w:w="15" w:type="dxa"/>
        <w:left w:w="15" w:type="dxa"/>
        <w:bottom w:w="15" w:type="dxa"/>
        <w:right w:w="15" w:type="dxa"/>
      </w:tblCellMar>
    </w:tblPr>
  </w:style>
  <w:style w:type="table" w:customStyle="1" w:styleId="afffff9">
    <w:basedOn w:val="TableNormal0"/>
    <w:tblPr>
      <w:tblStyleRowBandSize w:val="1"/>
      <w:tblStyleColBandSize w:val="1"/>
      <w:tblCellMar>
        <w:top w:w="15" w:type="dxa"/>
        <w:left w:w="15" w:type="dxa"/>
        <w:bottom w:w="15" w:type="dxa"/>
        <w:right w:w="15" w:type="dxa"/>
      </w:tblCellMar>
    </w:tblPr>
  </w:style>
  <w:style w:type="table" w:customStyle="1" w:styleId="afffffa">
    <w:basedOn w:val="TableNormal0"/>
    <w:pPr>
      <w:spacing w:after="200" w:line="276" w:lineRule="auto"/>
    </w:pPr>
    <w:rPr>
      <w:color w:val="76923C"/>
      <w:sz w:val="24"/>
      <w:szCs w:val="24"/>
    </w:rPr>
    <w:tblPr>
      <w:tblStyleRowBandSize w:val="1"/>
      <w:tblStyleColBandSize w:val="1"/>
      <w:tblCellMar>
        <w:top w:w="0" w:type="dxa"/>
        <w:left w:w="115" w:type="dxa"/>
        <w:bottom w:w="0" w:type="dxa"/>
        <w:right w:w="115" w:type="dxa"/>
      </w:tblCellMar>
    </w:tblPr>
    <w:tcPr>
      <w:shd w:val="clear" w:color="auto" w:fill="EBF1DD"/>
    </w:tc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fffffb">
    <w:basedOn w:val="TableNormal0"/>
    <w:pPr>
      <w:spacing w:after="200" w:line="276" w:lineRule="auto"/>
    </w:pPr>
    <w:rPr>
      <w:color w:val="76923C"/>
      <w:sz w:val="24"/>
      <w:szCs w:val="24"/>
    </w:rPr>
    <w:tblPr>
      <w:tblStyleRowBandSize w:val="1"/>
      <w:tblStyleColBandSize w:val="1"/>
      <w:tblCellMar>
        <w:top w:w="0" w:type="dxa"/>
        <w:left w:w="115" w:type="dxa"/>
        <w:bottom w:w="0" w:type="dxa"/>
        <w:right w:w="115" w:type="dxa"/>
      </w:tblCellMar>
    </w:tblPr>
    <w:tcPr>
      <w:shd w:val="clear" w:color="auto" w:fill="EBF1DD"/>
    </w:tc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CellMar>
        <w:top w:w="15" w:type="dxa"/>
        <w:left w:w="15" w:type="dxa"/>
        <w:bottom w:w="15" w:type="dxa"/>
        <w:right w:w="15" w:type="dxa"/>
      </w:tblCellMar>
    </w:tblPr>
  </w:style>
  <w:style w:type="table" w:customStyle="1" w:styleId="affffff">
    <w:basedOn w:val="TableNormal0"/>
    <w:tblPr>
      <w:tblStyleRowBandSize w:val="1"/>
      <w:tblStyleColBandSize w:val="1"/>
      <w:tblCellMar>
        <w:top w:w="15" w:type="dxa"/>
        <w:left w:w="15" w:type="dxa"/>
        <w:bottom w:w="15" w:type="dxa"/>
        <w:right w:w="15" w:type="dxa"/>
      </w:tblCellMar>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 w:type="table" w:customStyle="1" w:styleId="affffffb">
    <w:basedOn w:val="TableNormal0"/>
    <w:tblPr>
      <w:tblStyleRowBandSize w:val="1"/>
      <w:tblStyleColBandSize w:val="1"/>
    </w:tblPr>
  </w:style>
  <w:style w:type="table" w:customStyle="1" w:styleId="affffffc">
    <w:basedOn w:val="TableNormal0"/>
    <w:tblPr>
      <w:tblStyleRowBandSize w:val="1"/>
      <w:tblStyleColBandSize w:val="1"/>
    </w:tblPr>
  </w:style>
  <w:style w:type="table" w:customStyle="1" w:styleId="affffffd">
    <w:basedOn w:val="TableNormal0"/>
    <w:tblPr>
      <w:tblStyleRowBandSize w:val="1"/>
      <w:tblStyleColBandSize w:val="1"/>
    </w:tblPr>
  </w:style>
  <w:style w:type="table" w:customStyle="1" w:styleId="affffffe">
    <w:basedOn w:val="TableNormal0"/>
    <w:tblPr>
      <w:tblStyleRowBandSize w:val="1"/>
      <w:tblStyleColBandSize w:val="1"/>
    </w:tblPr>
  </w:style>
  <w:style w:type="table" w:customStyle="1" w:styleId="afffffff">
    <w:basedOn w:val="TableNormal0"/>
    <w:tblPr>
      <w:tblStyleRowBandSize w:val="1"/>
      <w:tblStyleColBandSize w:val="1"/>
    </w:tblPr>
  </w:style>
  <w:style w:type="table" w:customStyle="1" w:styleId="afffffff0">
    <w:basedOn w:val="TableNormal0"/>
    <w:tblPr>
      <w:tblStyleRowBandSize w:val="1"/>
      <w:tblStyleColBandSize w:val="1"/>
    </w:tblPr>
  </w:style>
  <w:style w:type="table" w:customStyle="1" w:styleId="afffffff1">
    <w:basedOn w:val="TableNormal0"/>
    <w:tblPr>
      <w:tblStyleRowBandSize w:val="1"/>
      <w:tblStyleColBandSize w:val="1"/>
    </w:tblPr>
  </w:style>
  <w:style w:type="table" w:customStyle="1" w:styleId="afffffff2">
    <w:basedOn w:val="TableNormal0"/>
    <w:tblPr>
      <w:tblStyleRowBandSize w:val="1"/>
      <w:tblStyleColBandSize w:val="1"/>
    </w:tblPr>
  </w:style>
  <w:style w:type="table" w:customStyle="1" w:styleId="afffffff3">
    <w:basedOn w:val="TableNormal0"/>
    <w:tblPr>
      <w:tblStyleRowBandSize w:val="1"/>
      <w:tblStyleColBandSize w:val="1"/>
    </w:tblPr>
  </w:style>
  <w:style w:type="table" w:customStyle="1" w:styleId="afffffff4">
    <w:basedOn w:val="TableNormal0"/>
    <w:tblPr>
      <w:tblStyleRowBandSize w:val="1"/>
      <w:tblStyleColBandSize w:val="1"/>
      <w:tblCellMar>
        <w:top w:w="0" w:type="dxa"/>
        <w:left w:w="0" w:type="dxa"/>
        <w:bottom w:w="0" w:type="dxa"/>
        <w:right w:w="0" w:type="dxa"/>
      </w:tblCellMar>
    </w:tblPr>
  </w:style>
  <w:style w:type="table" w:customStyle="1" w:styleId="afffffff5">
    <w:basedOn w:val="TableNormal0"/>
    <w:tblPr>
      <w:tblStyleRowBandSize w:val="1"/>
      <w:tblStyleColBandSize w:val="1"/>
      <w:tblCellMar>
        <w:top w:w="0" w:type="dxa"/>
        <w:left w:w="0" w:type="dxa"/>
        <w:bottom w:w="0" w:type="dxa"/>
        <w:right w:w="0" w:type="dxa"/>
      </w:tblCellMar>
    </w:tblPr>
  </w:style>
  <w:style w:type="table" w:customStyle="1" w:styleId="afffffff6">
    <w:basedOn w:val="TableNormal0"/>
    <w:tblPr>
      <w:tblStyleRowBandSize w:val="1"/>
      <w:tblStyleColBandSize w:val="1"/>
      <w:tblCellMar>
        <w:top w:w="0" w:type="dxa"/>
        <w:left w:w="0" w:type="dxa"/>
        <w:bottom w:w="0" w:type="dxa"/>
        <w:right w:w="0" w:type="dxa"/>
      </w:tblCellMar>
    </w:tblPr>
  </w:style>
  <w:style w:type="table" w:customStyle="1" w:styleId="afffffff7">
    <w:basedOn w:val="TableNormal0"/>
    <w:tblPr>
      <w:tblStyleRowBandSize w:val="1"/>
      <w:tblStyleColBandSize w:val="1"/>
      <w:tblCellMar>
        <w:top w:w="0" w:type="dxa"/>
        <w:left w:w="115" w:type="dxa"/>
        <w:bottom w:w="0" w:type="dxa"/>
        <w:right w:w="115" w:type="dxa"/>
      </w:tblCellMar>
    </w:tblPr>
  </w:style>
  <w:style w:type="character" w:styleId="Mencinsinresolver">
    <w:name w:val="Unresolved Mention"/>
    <w:basedOn w:val="Fuentedeprrafopredeter"/>
    <w:uiPriority w:val="99"/>
    <w:semiHidden/>
    <w:unhideWhenUsed/>
    <w:rsid w:val="00155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ovilidadbogota.gov.co/planes-de-accion-anua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2O9r7rh3fG91LSXOsdyL6mRyrw==">CgMxLjAyDmgucTExZ2NsNnAyemF6Mg5oLmxkZXJpbDJpdWJyYTgAciExTGgxR1NjVnJzYWNsb0hrcUNxSU5tOXFnUlFReEFMa1g=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6540</Words>
  <Characters>35976</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jarroyo</dc:creator>
  <cp:lastModifiedBy>Monica Martinez Burgos</cp:lastModifiedBy>
  <cp:revision>2</cp:revision>
  <dcterms:created xsi:type="dcterms:W3CDTF">2026-02-12T21:29:00Z</dcterms:created>
  <dcterms:modified xsi:type="dcterms:W3CDTF">2026-02-12T21:29:00Z</dcterms:modified>
</cp:coreProperties>
</file>