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E2712" w14:textId="77777777" w:rsidR="00400ABB" w:rsidRDefault="00000000">
      <w:pPr>
        <w:spacing w:before="5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Ficha metodológica para la documentación de operaciones estadísticas o registros administrativos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footnoteReference w:id="1"/>
      </w:r>
    </w:p>
    <w:p w14:paraId="0BCDC41F" w14:textId="77777777" w:rsidR="00400ABB" w:rsidRDefault="00400ABB">
      <w:pPr>
        <w:spacing w:before="4" w:line="120" w:lineRule="auto"/>
        <w:rPr>
          <w:rFonts w:ascii="Arial" w:eastAsia="Arial" w:hAnsi="Arial" w:cs="Arial"/>
          <w:sz w:val="22"/>
          <w:szCs w:val="22"/>
        </w:rPr>
      </w:pPr>
    </w:p>
    <w:p w14:paraId="468502B0" w14:textId="77777777" w:rsidR="00400ABB" w:rsidRDefault="00400ABB">
      <w:pPr>
        <w:spacing w:line="276" w:lineRule="auto"/>
        <w:ind w:right="170"/>
        <w:jc w:val="both"/>
        <w:rPr>
          <w:rFonts w:ascii="Arial" w:eastAsia="Arial" w:hAnsi="Arial" w:cs="Arial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400ABB" w:rsidRPr="00D7355F" w14:paraId="59AF0C21" w14:textId="77777777" w:rsidTr="00D7355F">
        <w:tc>
          <w:tcPr>
            <w:tcW w:w="8828" w:type="dxa"/>
            <w:gridSpan w:val="2"/>
            <w:shd w:val="clear" w:color="auto" w:fill="98B8EA"/>
          </w:tcPr>
          <w:p w14:paraId="77C4F319" w14:textId="77777777" w:rsidR="00400ABB" w:rsidRPr="00D7355F" w:rsidRDefault="00000000">
            <w:pPr>
              <w:spacing w:line="276" w:lineRule="auto"/>
              <w:ind w:right="17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Ficha metodológica para la documentación de operaciones estadísticas y/o registros administrativos</w:t>
            </w:r>
          </w:p>
        </w:tc>
      </w:tr>
      <w:tr w:rsidR="00400ABB" w:rsidRPr="00D7355F" w14:paraId="5D333CBB" w14:textId="77777777" w:rsidTr="00E2717B">
        <w:trPr>
          <w:trHeight w:val="493"/>
        </w:trPr>
        <w:tc>
          <w:tcPr>
            <w:tcW w:w="2689" w:type="dxa"/>
            <w:shd w:val="clear" w:color="auto" w:fill="98B8EA"/>
            <w:vAlign w:val="center"/>
          </w:tcPr>
          <w:p w14:paraId="2B71262E" w14:textId="77777777" w:rsidR="00400ABB" w:rsidRPr="00D7355F" w:rsidRDefault="00000000">
            <w:pPr>
              <w:spacing w:line="276" w:lineRule="auto"/>
              <w:ind w:right="17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Criterio</w:t>
            </w:r>
          </w:p>
        </w:tc>
        <w:tc>
          <w:tcPr>
            <w:tcW w:w="6139" w:type="dxa"/>
            <w:shd w:val="clear" w:color="auto" w:fill="98B8EA"/>
            <w:vAlign w:val="center"/>
          </w:tcPr>
          <w:p w14:paraId="2ED28489" w14:textId="77777777" w:rsidR="00400ABB" w:rsidRPr="00D7355F" w:rsidRDefault="00000000">
            <w:pPr>
              <w:spacing w:line="276" w:lineRule="auto"/>
              <w:ind w:right="17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Descripción</w:t>
            </w:r>
          </w:p>
        </w:tc>
      </w:tr>
      <w:tr w:rsidR="00400ABB" w:rsidRPr="00D7355F" w14:paraId="5BABC454" w14:textId="77777777" w:rsidTr="00E2717B">
        <w:tc>
          <w:tcPr>
            <w:tcW w:w="2689" w:type="dxa"/>
            <w:shd w:val="clear" w:color="auto" w:fill="98B8EA"/>
          </w:tcPr>
          <w:p w14:paraId="11ADBE48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Entidad y dependencia productora</w:t>
            </w:r>
          </w:p>
        </w:tc>
        <w:tc>
          <w:tcPr>
            <w:tcW w:w="6139" w:type="dxa"/>
            <w:vAlign w:val="center"/>
          </w:tcPr>
          <w:p w14:paraId="51699CA8" w14:textId="2C5F221B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Secretaría Distrital de Movilidad – Subdirección de Control de Tránsito y Transporte.</w:t>
            </w:r>
          </w:p>
        </w:tc>
      </w:tr>
      <w:tr w:rsidR="00400ABB" w:rsidRPr="00D7355F" w14:paraId="2687F134" w14:textId="77777777" w:rsidTr="00E2717B">
        <w:trPr>
          <w:trHeight w:val="566"/>
        </w:trPr>
        <w:tc>
          <w:tcPr>
            <w:tcW w:w="2689" w:type="dxa"/>
            <w:shd w:val="clear" w:color="auto" w:fill="98B8EA"/>
          </w:tcPr>
          <w:p w14:paraId="6797A88C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Tipo</w:t>
            </w:r>
          </w:p>
        </w:tc>
        <w:tc>
          <w:tcPr>
            <w:tcW w:w="6139" w:type="dxa"/>
            <w:vAlign w:val="center"/>
          </w:tcPr>
          <w:p w14:paraId="402A017D" w14:textId="6DA98394" w:rsidR="00400ABB" w:rsidRPr="000538E6" w:rsidRDefault="00D13040" w:rsidP="00D7355F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Fonts w:ascii="Arial" w:hAnsi="Arial" w:cs="Arial"/>
                <w:sz w:val="20"/>
                <w:szCs w:val="20"/>
              </w:rPr>
              <w:t>Registro Administrativo.</w:t>
            </w:r>
          </w:p>
        </w:tc>
      </w:tr>
      <w:tr w:rsidR="00400ABB" w:rsidRPr="00D7355F" w14:paraId="48AA9403" w14:textId="77777777" w:rsidTr="00E2717B">
        <w:tc>
          <w:tcPr>
            <w:tcW w:w="2689" w:type="dxa"/>
            <w:shd w:val="clear" w:color="auto" w:fill="98B8EA"/>
          </w:tcPr>
          <w:p w14:paraId="483D14BB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Nombre de la OOEE o RRAA</w:t>
            </w:r>
          </w:p>
        </w:tc>
        <w:tc>
          <w:tcPr>
            <w:tcW w:w="6139" w:type="dxa"/>
            <w:vAlign w:val="center"/>
          </w:tcPr>
          <w:p w14:paraId="6A5136A7" w14:textId="32F55DC3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Imposición de Comparendos de Tránsito</w:t>
            </w:r>
          </w:p>
        </w:tc>
      </w:tr>
      <w:tr w:rsidR="00400ABB" w:rsidRPr="00D7355F" w14:paraId="040B2E56" w14:textId="77777777" w:rsidTr="00E2717B">
        <w:tc>
          <w:tcPr>
            <w:tcW w:w="2689" w:type="dxa"/>
            <w:shd w:val="clear" w:color="auto" w:fill="98B8EA"/>
          </w:tcPr>
          <w:p w14:paraId="52FD0DC8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Sigla de la OOEE o RRAA</w:t>
            </w:r>
          </w:p>
        </w:tc>
        <w:tc>
          <w:tcPr>
            <w:tcW w:w="6139" w:type="dxa"/>
          </w:tcPr>
          <w:p w14:paraId="51069190" w14:textId="686CA401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ICT</w:t>
            </w:r>
          </w:p>
        </w:tc>
      </w:tr>
      <w:tr w:rsidR="00400ABB" w:rsidRPr="00D7355F" w14:paraId="19106F46" w14:textId="77777777" w:rsidTr="00E2717B">
        <w:tc>
          <w:tcPr>
            <w:tcW w:w="2689" w:type="dxa"/>
            <w:shd w:val="clear" w:color="auto" w:fill="98B8EA"/>
            <w:vAlign w:val="center"/>
          </w:tcPr>
          <w:p w14:paraId="3BFD57BC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Antecedentes</w:t>
            </w:r>
          </w:p>
        </w:tc>
        <w:tc>
          <w:tcPr>
            <w:tcW w:w="6139" w:type="dxa"/>
          </w:tcPr>
          <w:p w14:paraId="011B8D82" w14:textId="3F51ACB0" w:rsidR="00400ABB" w:rsidRPr="000538E6" w:rsidRDefault="00D13040" w:rsidP="00D7355F">
            <w:pPr>
              <w:jc w:val="both"/>
              <w:rPr>
                <w:rFonts w:ascii="Arial" w:hAnsi="Arial" w:cs="Arial"/>
              </w:rPr>
            </w:pPr>
            <w:r w:rsidRPr="000538E6">
              <w:rPr>
                <w:rFonts w:ascii="Arial" w:hAnsi="Arial" w:cs="Arial"/>
              </w:rPr>
              <w:t xml:space="preserve">El Registro Administrativo de Imposición de Comparendos tiene su origen en la necesidad institucional de consolidar y sistematizar la información relacionada con las infracciones a las normas de tránsito y transporte en la ciudad de Bogotá. El registro inicia formalmente en el año 2018, fortaleciendo el seguimiento y control de las infracciones mediante el uso de sistemas de información tecnológicos para apoyar la gestión operativa, el análisis estadístico y la formulación de estrategias de movilidad y seguridad vial. </w:t>
            </w:r>
          </w:p>
        </w:tc>
      </w:tr>
      <w:tr w:rsidR="00400ABB" w:rsidRPr="00D7355F" w14:paraId="5CB4C2BE" w14:textId="77777777" w:rsidTr="00E2717B">
        <w:tc>
          <w:tcPr>
            <w:tcW w:w="2689" w:type="dxa"/>
            <w:shd w:val="clear" w:color="auto" w:fill="98B8EA"/>
            <w:vAlign w:val="center"/>
          </w:tcPr>
          <w:p w14:paraId="26898901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Objetivo general</w:t>
            </w:r>
          </w:p>
        </w:tc>
        <w:tc>
          <w:tcPr>
            <w:tcW w:w="6139" w:type="dxa"/>
          </w:tcPr>
          <w:p w14:paraId="0559AFAA" w14:textId="565CDB55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Identificar y consolidar la información relacionada con las infracciones al tránsito y al transporte cometidas por los actores viales en la ciudad de Bogotá, a partir del seguimiento realizado mediante los sistemas de información de la Secretaría Distrital de Movilidad, con el fin de apoyar la gestión institucional, el análisis estadístico y la toma de decisiones en materia de movilidad y seguridad vial.</w:t>
            </w:r>
          </w:p>
        </w:tc>
      </w:tr>
      <w:tr w:rsidR="00400ABB" w:rsidRPr="00D7355F" w14:paraId="4BD2EBA1" w14:textId="77777777" w:rsidTr="00E2717B">
        <w:tc>
          <w:tcPr>
            <w:tcW w:w="2689" w:type="dxa"/>
            <w:shd w:val="clear" w:color="auto" w:fill="98B8EA"/>
            <w:vAlign w:val="center"/>
          </w:tcPr>
          <w:p w14:paraId="1D9FDB24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Objetivos específicos</w:t>
            </w:r>
          </w:p>
        </w:tc>
        <w:tc>
          <w:tcPr>
            <w:tcW w:w="6139" w:type="dxa"/>
          </w:tcPr>
          <w:p w14:paraId="530E81BF" w14:textId="77777777" w:rsidR="000538E6" w:rsidRDefault="00D13040" w:rsidP="000538E6">
            <w:pPr>
              <w:pStyle w:val="NormalWeb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Fonts w:ascii="Arial" w:hAnsi="Arial" w:cs="Arial"/>
                <w:sz w:val="20"/>
                <w:szCs w:val="20"/>
              </w:rPr>
              <w:t>Registrar de manera sistemática los comparendos impuestos por infracciones a las normas de tránsito y transporte.</w:t>
            </w:r>
          </w:p>
          <w:p w14:paraId="048CB02B" w14:textId="3A7C712C" w:rsidR="00D13040" w:rsidRPr="000538E6" w:rsidRDefault="00D13040" w:rsidP="000538E6">
            <w:pPr>
              <w:pStyle w:val="NormalWeb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Fonts w:ascii="Arial" w:hAnsi="Arial" w:cs="Arial"/>
                <w:sz w:val="20"/>
                <w:szCs w:val="20"/>
              </w:rPr>
              <w:t>Mantener históricos consolidados de las órdenes de comparendo y de las infracciones identificadas.</w:t>
            </w:r>
          </w:p>
          <w:p w14:paraId="18A6A349" w14:textId="305A34A4" w:rsidR="00400ABB" w:rsidRPr="000538E6" w:rsidRDefault="00D13040" w:rsidP="00D7355F">
            <w:pPr>
              <w:pStyle w:val="NormalWeb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Fonts w:ascii="Arial" w:hAnsi="Arial" w:cs="Arial"/>
                <w:sz w:val="20"/>
                <w:szCs w:val="20"/>
              </w:rPr>
              <w:lastRenderedPageBreak/>
              <w:t>Proveer información confiable para el diseño y seguimiento de estrategias orientadas a mejorar las condiciones de movilidad en la ciudad.</w:t>
            </w:r>
          </w:p>
        </w:tc>
      </w:tr>
      <w:tr w:rsidR="00400ABB" w:rsidRPr="00D7355F" w14:paraId="5CBD47AB" w14:textId="77777777" w:rsidTr="00E2717B">
        <w:tc>
          <w:tcPr>
            <w:tcW w:w="2689" w:type="dxa"/>
            <w:shd w:val="clear" w:color="auto" w:fill="98B8EA"/>
            <w:vAlign w:val="center"/>
          </w:tcPr>
          <w:p w14:paraId="75A65D98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lastRenderedPageBreak/>
              <w:t>Alcance temático</w:t>
            </w:r>
          </w:p>
        </w:tc>
        <w:tc>
          <w:tcPr>
            <w:tcW w:w="6139" w:type="dxa"/>
          </w:tcPr>
          <w:p w14:paraId="0A6195D2" w14:textId="5860FFA4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El registro abarca información relacionada con infracciones de tránsito y transporte, características del comparendo, actores viales involucrados, tipo de infracción, condiciones del vehículo, ubicación geográfica del evento y variables temporales asociadas a la imposición del comparendo, en el marco de la regulación vigente de tránsito.</w:t>
            </w:r>
          </w:p>
        </w:tc>
      </w:tr>
      <w:tr w:rsidR="00400ABB" w:rsidRPr="00D7355F" w14:paraId="1F1F8DA4" w14:textId="77777777" w:rsidTr="00E2717B">
        <w:tc>
          <w:tcPr>
            <w:tcW w:w="2689" w:type="dxa"/>
            <w:shd w:val="clear" w:color="auto" w:fill="98B8EA"/>
            <w:vAlign w:val="center"/>
          </w:tcPr>
          <w:p w14:paraId="647355AB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Conceptos básicos</w:t>
            </w:r>
          </w:p>
        </w:tc>
        <w:tc>
          <w:tcPr>
            <w:tcW w:w="6139" w:type="dxa"/>
          </w:tcPr>
          <w:p w14:paraId="0CCC5CE9" w14:textId="2A9CCCAA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Actor vial:</w:t>
            </w:r>
            <w:r w:rsidRPr="000538E6">
              <w:rPr>
                <w:rFonts w:ascii="Arial" w:eastAsia="Arial" w:hAnsi="Arial" w:cs="Arial"/>
              </w:rPr>
              <w:t xml:space="preserve"> Persona que participa en la circulación vial, incluyendo conductores, peatones, pasajeros, ciclistas y demás usuarios de las vías públicas o privadas abiertas al público.</w:t>
            </w:r>
          </w:p>
          <w:p w14:paraId="17150A59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Código Nacional de Tránsito Terrestre – Ley 769 de 2002, artículos 2 y 3.</w:t>
            </w:r>
          </w:p>
          <w:p w14:paraId="1D3AB88C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0EF096D1" w14:textId="673DDC6A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Agente de tránsito:</w:t>
            </w:r>
            <w:r w:rsidRPr="000538E6">
              <w:rPr>
                <w:rFonts w:ascii="Arial" w:eastAsia="Arial" w:hAnsi="Arial" w:cs="Arial"/>
              </w:rPr>
              <w:t xml:space="preserve"> Servidor público o autoridad competente encargada de regular, vigilar y controlar el tránsito, así como de imponer comparendos y aplicar medidas administrativas.</w:t>
            </w:r>
          </w:p>
          <w:p w14:paraId="3ED69130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artículos 3 y 135.</w:t>
            </w:r>
          </w:p>
          <w:p w14:paraId="488CC04B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27C4E9EC" w14:textId="47D553D1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Comparendo:</w:t>
            </w:r>
            <w:r w:rsidRPr="000538E6">
              <w:rPr>
                <w:rFonts w:ascii="Arial" w:eastAsia="Arial" w:hAnsi="Arial" w:cs="Arial"/>
              </w:rPr>
              <w:t xml:space="preserve"> Acto administrativo mediante el cual la autoridad de tránsito notifica formalmente a una persona natural o jurídica la presunta comisión de una infracción a las normas de tránsito, dando inicio al procedimiento contravencional.</w:t>
            </w:r>
          </w:p>
          <w:p w14:paraId="484ED2AF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artículos 2 y 135.</w:t>
            </w:r>
          </w:p>
          <w:p w14:paraId="12F55626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59DA07B4" w14:textId="00F19409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 xml:space="preserve">Fecha y hora de ocurrencia del evento: </w:t>
            </w:r>
            <w:r w:rsidRPr="000538E6">
              <w:rPr>
                <w:rFonts w:ascii="Arial" w:eastAsia="Arial" w:hAnsi="Arial" w:cs="Arial"/>
              </w:rPr>
              <w:t>Referencia temporal que indica el día y la hora exacta en que se comete la infracción de tránsito, necesaria para la identificación, trazabilidad y validez del comparendo.</w:t>
            </w:r>
          </w:p>
          <w:p w14:paraId="1C667B0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 135.</w:t>
            </w:r>
          </w:p>
          <w:p w14:paraId="22899D7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3EE4789D" w14:textId="00DE1896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Infracción de tránsito:</w:t>
            </w:r>
            <w:r w:rsidRPr="000538E6">
              <w:rPr>
                <w:rFonts w:ascii="Arial" w:eastAsia="Arial" w:hAnsi="Arial" w:cs="Arial"/>
              </w:rPr>
              <w:t xml:space="preserve"> Conducta u omisión que contraviene las disposiciones establecidas en el Código Nacional de Tránsito Terrestre y que da lugar a la imposición de sanciones administrativas.</w:t>
            </w:r>
          </w:p>
          <w:p w14:paraId="5DF4078F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 131.</w:t>
            </w:r>
          </w:p>
          <w:p w14:paraId="75D2E1B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6D6D7FCA" w14:textId="24039D20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Inmovilización:</w:t>
            </w:r>
            <w:r w:rsidRPr="000538E6">
              <w:rPr>
                <w:rFonts w:ascii="Arial" w:eastAsia="Arial" w:hAnsi="Arial" w:cs="Arial"/>
              </w:rPr>
              <w:t xml:space="preserve"> Medida administrativa consistente en la retención temporal del vehículo cuando se presentan las causales establecidas en la ley, hasta que se subsane la infracción o se cumplan los requisitos legales.</w:t>
            </w:r>
          </w:p>
          <w:p w14:paraId="1CCC61C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artículos 125 y 131.</w:t>
            </w:r>
          </w:p>
          <w:p w14:paraId="67CF7FEE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2761F414" w14:textId="4AFE0D44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lastRenderedPageBreak/>
              <w:t>Tipo de servicio:</w:t>
            </w:r>
            <w:r w:rsidRPr="000538E6">
              <w:rPr>
                <w:rFonts w:ascii="Arial" w:eastAsia="Arial" w:hAnsi="Arial" w:cs="Arial"/>
              </w:rPr>
              <w:t xml:space="preserve"> Modalidad bajo la cual opera un vehículo, definida como servicio particular, público, oficial, especial o diplomático, y que determina las condiciones de operación y control del mismo.</w:t>
            </w:r>
          </w:p>
          <w:p w14:paraId="73DD7C94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artículos 2 y 5.</w:t>
            </w:r>
          </w:p>
          <w:p w14:paraId="13012764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6D6B7394" w14:textId="178E40D0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Ubicación geográfica de la infracción:</w:t>
            </w:r>
            <w:r w:rsidRPr="000538E6">
              <w:rPr>
                <w:rFonts w:ascii="Arial" w:eastAsia="Arial" w:hAnsi="Arial" w:cs="Arial"/>
              </w:rPr>
              <w:t xml:space="preserve"> Lugar físico donde ocurre la conducta constitutiva de infracción de tránsito, identificado mediante dirección, tramo vial o referencia espacial registrada por la autoridad competente.</w:t>
            </w:r>
          </w:p>
          <w:p w14:paraId="4E3DD50C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artículos 135 y 136.</w:t>
            </w:r>
          </w:p>
          <w:p w14:paraId="352316EF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3E75B7F5" w14:textId="711F68F4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Vehículo:</w:t>
            </w:r>
            <w:r w:rsidRPr="000538E6">
              <w:rPr>
                <w:rFonts w:ascii="Arial" w:eastAsia="Arial" w:hAnsi="Arial" w:cs="Arial"/>
              </w:rPr>
              <w:t xml:space="preserve"> Todo medio de transporte terrestre, motorizado o no, destinado al desplazamiento de personas, animales o cosas por las vías.</w:t>
            </w:r>
          </w:p>
          <w:p w14:paraId="37AA6633" w14:textId="6A506551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Fuente: Ley 769 de 2002, artículo 2.</w:t>
            </w:r>
          </w:p>
        </w:tc>
      </w:tr>
      <w:tr w:rsidR="00400ABB" w:rsidRPr="00D7355F" w14:paraId="68FFBCE2" w14:textId="77777777" w:rsidTr="00E2717B">
        <w:tc>
          <w:tcPr>
            <w:tcW w:w="2689" w:type="dxa"/>
            <w:shd w:val="clear" w:color="auto" w:fill="98B8EA"/>
            <w:vAlign w:val="center"/>
          </w:tcPr>
          <w:p w14:paraId="1889A1A0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lastRenderedPageBreak/>
              <w:t>Variables</w:t>
            </w:r>
          </w:p>
        </w:tc>
        <w:tc>
          <w:tcPr>
            <w:tcW w:w="6139" w:type="dxa"/>
          </w:tcPr>
          <w:p w14:paraId="26D1B8B3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Agente de tránsito:</w:t>
            </w:r>
            <w:r w:rsidRPr="000538E6">
              <w:rPr>
                <w:rFonts w:ascii="Arial" w:eastAsia="Arial" w:hAnsi="Arial" w:cs="Arial"/>
              </w:rPr>
              <w:t xml:space="preserve"> Servidor público o autoridad competente encargada de la imposición del comparendo.</w:t>
            </w:r>
          </w:p>
          <w:p w14:paraId="56A7658C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6EEF8060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Clase de vehículo</w:t>
            </w:r>
            <w:r w:rsidRPr="000538E6">
              <w:rPr>
                <w:rFonts w:ascii="Arial" w:eastAsia="Arial" w:hAnsi="Arial" w:cs="Arial"/>
              </w:rPr>
              <w:t>: Clasificación del vehículo según su tipología definida por el Código Nacional de Tránsito.</w:t>
            </w:r>
          </w:p>
          <w:p w14:paraId="751CDEE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6F9F4F41" w14:textId="586E3ECA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Comparendo</w:t>
            </w:r>
            <w:r w:rsidR="00D7355F" w:rsidRPr="000538E6">
              <w:rPr>
                <w:rFonts w:ascii="Arial" w:eastAsia="Arial" w:hAnsi="Arial" w:cs="Arial"/>
                <w:b/>
                <w:bCs/>
              </w:rPr>
              <w:t>:</w:t>
            </w:r>
            <w:r w:rsidR="00D7355F" w:rsidRPr="000538E6">
              <w:rPr>
                <w:rFonts w:ascii="Arial" w:eastAsia="Arial" w:hAnsi="Arial" w:cs="Arial"/>
              </w:rPr>
              <w:t xml:space="preserve"> </w:t>
            </w:r>
            <w:r w:rsidRPr="000538E6">
              <w:rPr>
                <w:rFonts w:ascii="Arial" w:eastAsia="Arial" w:hAnsi="Arial" w:cs="Arial"/>
              </w:rPr>
              <w:t>Acto administrativo mediante el cual la autoridad de tránsito notifica a una persona natural o jurídica la presunta comisión de una infracción a las normas de tránsito.</w:t>
            </w:r>
          </w:p>
          <w:p w14:paraId="4DB051A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0039097A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Coordenadas geográficas:</w:t>
            </w:r>
            <w:r w:rsidRPr="000538E6">
              <w:rPr>
                <w:rFonts w:ascii="Arial" w:eastAsia="Arial" w:hAnsi="Arial" w:cs="Arial"/>
              </w:rPr>
              <w:t xml:space="preserve"> Sistema de referencia espacial expresado en latitud y longitud que ubica el lugar del evento.</w:t>
            </w:r>
          </w:p>
          <w:p w14:paraId="272D3B54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0D49CD3A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Departamento:</w:t>
            </w:r>
            <w:r w:rsidRPr="000538E6">
              <w:rPr>
                <w:rFonts w:ascii="Arial" w:eastAsia="Arial" w:hAnsi="Arial" w:cs="Arial"/>
              </w:rPr>
              <w:t xml:space="preserve"> División político-administrativa de primer nivel en la que reside o se identifica el infractor.</w:t>
            </w:r>
          </w:p>
          <w:p w14:paraId="6352E569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7E37E7F3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Dirección:</w:t>
            </w:r>
            <w:r w:rsidRPr="000538E6">
              <w:rPr>
                <w:rFonts w:ascii="Arial" w:eastAsia="Arial" w:hAnsi="Arial" w:cs="Arial"/>
              </w:rPr>
              <w:t xml:space="preserve"> Descripción alfanumérica que identifica la localización física del infractor o del evento.</w:t>
            </w:r>
          </w:p>
          <w:p w14:paraId="41CA4A5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0891D4A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Empresa de transporte:</w:t>
            </w:r>
            <w:r w:rsidRPr="000538E6">
              <w:rPr>
                <w:rFonts w:ascii="Arial" w:eastAsia="Arial" w:hAnsi="Arial" w:cs="Arial"/>
              </w:rPr>
              <w:t xml:space="preserve"> Persona jurídica responsable de la operación del vehículo cuando aplica.</w:t>
            </w:r>
          </w:p>
          <w:p w14:paraId="5D96D7BD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7EDF50C9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Fecha de infracción:</w:t>
            </w:r>
            <w:r w:rsidRPr="000538E6">
              <w:rPr>
                <w:rFonts w:ascii="Arial" w:eastAsia="Arial" w:hAnsi="Arial" w:cs="Arial"/>
              </w:rPr>
              <w:t xml:space="preserve"> Fecha calendario en la cual ocurrió la conducta constitutiva de infracción de tránsito.</w:t>
            </w:r>
          </w:p>
          <w:p w14:paraId="582B3B2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0D887AD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Fecha de ingreso:</w:t>
            </w:r>
            <w:r w:rsidRPr="000538E6">
              <w:rPr>
                <w:rFonts w:ascii="Arial" w:eastAsia="Arial" w:hAnsi="Arial" w:cs="Arial"/>
              </w:rPr>
              <w:t xml:space="preserve"> Fecha en la que el comparendo es registrado en el sistema de información institucional.</w:t>
            </w:r>
          </w:p>
          <w:p w14:paraId="47DC7A3E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704A7FF3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Hora de infracción:</w:t>
            </w:r>
            <w:r w:rsidRPr="000538E6">
              <w:rPr>
                <w:rFonts w:ascii="Arial" w:eastAsia="Arial" w:hAnsi="Arial" w:cs="Arial"/>
              </w:rPr>
              <w:t xml:space="preserve"> Momento del día en el que se materializa la infracción, expresado en formato horario.</w:t>
            </w:r>
          </w:p>
          <w:p w14:paraId="751B8EE6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3D4616E6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Identificación del infractor:</w:t>
            </w:r>
            <w:r w:rsidRPr="000538E6">
              <w:rPr>
                <w:rFonts w:ascii="Arial" w:eastAsia="Arial" w:hAnsi="Arial" w:cs="Arial"/>
              </w:rPr>
              <w:t xml:space="preserve"> Número único asignado al documento de identificación del infractor.</w:t>
            </w:r>
          </w:p>
          <w:p w14:paraId="44E94D7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454CEABA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Infracción de tránsito:</w:t>
            </w:r>
            <w:r w:rsidRPr="000538E6">
              <w:rPr>
                <w:rFonts w:ascii="Arial" w:eastAsia="Arial" w:hAnsi="Arial" w:cs="Arial"/>
              </w:rPr>
              <w:t xml:space="preserve"> Conducta que contraviene las normas establecidas en el Código Nacional de Tránsito Terrestre.</w:t>
            </w:r>
          </w:p>
          <w:p w14:paraId="32D5B30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4B418B4D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Infractor:</w:t>
            </w:r>
            <w:r w:rsidRPr="000538E6">
              <w:rPr>
                <w:rFonts w:ascii="Arial" w:eastAsia="Arial" w:hAnsi="Arial" w:cs="Arial"/>
              </w:rPr>
              <w:t xml:space="preserve"> Persona natural o jurídica a la cual se le atribuye la comisión de una infracción de tránsito.</w:t>
            </w:r>
          </w:p>
          <w:p w14:paraId="2C89E390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40EBD5F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Inmovilización:</w:t>
            </w:r>
            <w:r w:rsidRPr="000538E6">
              <w:rPr>
                <w:rFonts w:ascii="Arial" w:eastAsia="Arial" w:hAnsi="Arial" w:cs="Arial"/>
              </w:rPr>
              <w:t xml:space="preserve"> Medida administrativa que consiste en la retención temporal del vehículo.</w:t>
            </w:r>
          </w:p>
          <w:p w14:paraId="327B5518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407C4BB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Medio de imposición:</w:t>
            </w:r>
            <w:r w:rsidRPr="000538E6">
              <w:rPr>
                <w:rFonts w:ascii="Arial" w:eastAsia="Arial" w:hAnsi="Arial" w:cs="Arial"/>
              </w:rPr>
              <w:t xml:space="preserve"> Canal o mecanismo mediante el cual se impone el comparendo.</w:t>
            </w:r>
          </w:p>
          <w:p w14:paraId="7B70943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28F24CA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Municipio:</w:t>
            </w:r>
            <w:r w:rsidRPr="000538E6">
              <w:rPr>
                <w:rFonts w:ascii="Arial" w:eastAsia="Arial" w:hAnsi="Arial" w:cs="Arial"/>
              </w:rPr>
              <w:t xml:space="preserve"> Entidad territorial de segundo nivel asociada al lugar de residencia del infractor o de ocurrencia de la infracción.</w:t>
            </w:r>
          </w:p>
          <w:p w14:paraId="7272B01A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34DAB9B3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Observaciones:</w:t>
            </w:r>
            <w:r w:rsidRPr="000538E6">
              <w:rPr>
                <w:rFonts w:ascii="Arial" w:eastAsia="Arial" w:hAnsi="Arial" w:cs="Arial"/>
              </w:rPr>
              <w:t xml:space="preserve"> Campo de texto libre que consigna información adicional relevante sobre el comparendo.</w:t>
            </w:r>
          </w:p>
          <w:p w14:paraId="4612E337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5DA390FE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Placa del vehículo:</w:t>
            </w:r>
            <w:r w:rsidRPr="000538E6">
              <w:rPr>
                <w:rFonts w:ascii="Arial" w:eastAsia="Arial" w:hAnsi="Arial" w:cs="Arial"/>
              </w:rPr>
              <w:t xml:space="preserve"> Identificador alfanumérico único asignado a un vehículo automotor.</w:t>
            </w:r>
          </w:p>
          <w:p w14:paraId="66FE3C3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4258B896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Tipo de comparendo:</w:t>
            </w:r>
            <w:r w:rsidRPr="000538E6">
              <w:rPr>
                <w:rFonts w:ascii="Arial" w:eastAsia="Arial" w:hAnsi="Arial" w:cs="Arial"/>
              </w:rPr>
              <w:t xml:space="preserve"> Clasificación del comparendo según el mecanismo de imposición (manual, electrónico, automático, pedagógico).</w:t>
            </w:r>
          </w:p>
          <w:p w14:paraId="60AE2B9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14CACBD9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Tipo de documento de identificación:</w:t>
            </w:r>
            <w:r w:rsidRPr="000538E6">
              <w:rPr>
                <w:rFonts w:ascii="Arial" w:eastAsia="Arial" w:hAnsi="Arial" w:cs="Arial"/>
              </w:rPr>
              <w:t xml:space="preserve"> Categoría del documento oficial que identifica al infractor (cédula, NIT, pasaporte, etc.).</w:t>
            </w:r>
          </w:p>
          <w:p w14:paraId="42FAF9B5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314A5F3C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Tipo de servicio:</w:t>
            </w:r>
            <w:r w:rsidRPr="000538E6">
              <w:rPr>
                <w:rFonts w:ascii="Arial" w:eastAsia="Arial" w:hAnsi="Arial" w:cs="Arial"/>
              </w:rPr>
              <w:t xml:space="preserve"> Modalidad bajo la cual opera el vehículo (particular, público, oficial, diplomático, especial).</w:t>
            </w:r>
          </w:p>
          <w:p w14:paraId="0D344968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29F0CEA2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Ubicación geográfica de la infracción:</w:t>
            </w:r>
            <w:r w:rsidRPr="000538E6">
              <w:rPr>
                <w:rFonts w:ascii="Arial" w:eastAsia="Arial" w:hAnsi="Arial" w:cs="Arial"/>
              </w:rPr>
              <w:t xml:space="preserve"> Localización espacial donde ocurre la infracción, descrita mediante dirección, localidad y coordenadas geográficas.</w:t>
            </w:r>
          </w:p>
          <w:p w14:paraId="1633EB01" w14:textId="77777777" w:rsidR="00D13040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  <w:p w14:paraId="730A30D1" w14:textId="60CB4A25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  <w:b/>
                <w:bCs/>
              </w:rPr>
              <w:t>Vehículo:</w:t>
            </w:r>
            <w:r w:rsidRPr="000538E6">
              <w:rPr>
                <w:rFonts w:ascii="Arial" w:eastAsia="Arial" w:hAnsi="Arial" w:cs="Arial"/>
              </w:rPr>
              <w:t xml:space="preserve"> Medio de transporte terrestre involucrado en la infracción.</w:t>
            </w:r>
          </w:p>
        </w:tc>
      </w:tr>
      <w:tr w:rsidR="00400ABB" w:rsidRPr="00D7355F" w14:paraId="477149F1" w14:textId="77777777" w:rsidTr="00E2717B">
        <w:tc>
          <w:tcPr>
            <w:tcW w:w="2689" w:type="dxa"/>
            <w:shd w:val="clear" w:color="auto" w:fill="98B8EA"/>
            <w:vAlign w:val="center"/>
          </w:tcPr>
          <w:p w14:paraId="35FE06CA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lastRenderedPageBreak/>
              <w:t>Indicadores</w:t>
            </w:r>
          </w:p>
        </w:tc>
        <w:tc>
          <w:tcPr>
            <w:tcW w:w="6139" w:type="dxa"/>
          </w:tcPr>
          <w:p w14:paraId="6D57414E" w14:textId="72DEDF08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70ACEF73" w14:textId="77777777" w:rsidTr="00E2717B">
        <w:tc>
          <w:tcPr>
            <w:tcW w:w="2689" w:type="dxa"/>
            <w:shd w:val="clear" w:color="auto" w:fill="98B8EA"/>
            <w:vAlign w:val="center"/>
          </w:tcPr>
          <w:p w14:paraId="602E7F16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Estimación de parámetros</w:t>
            </w:r>
          </w:p>
        </w:tc>
        <w:tc>
          <w:tcPr>
            <w:tcW w:w="6139" w:type="dxa"/>
          </w:tcPr>
          <w:p w14:paraId="72CE5557" w14:textId="7B506A2E" w:rsidR="00400ABB" w:rsidRPr="000538E6" w:rsidRDefault="00D13040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18613FFB" w14:textId="77777777" w:rsidTr="00E2717B">
        <w:tc>
          <w:tcPr>
            <w:tcW w:w="2689" w:type="dxa"/>
            <w:shd w:val="clear" w:color="auto" w:fill="98B8EA"/>
            <w:vAlign w:val="center"/>
          </w:tcPr>
          <w:p w14:paraId="356B10EE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lastRenderedPageBreak/>
              <w:t>Estándares estadísticos empleados</w:t>
            </w:r>
          </w:p>
        </w:tc>
        <w:tc>
          <w:tcPr>
            <w:tcW w:w="6139" w:type="dxa"/>
          </w:tcPr>
          <w:p w14:paraId="67754191" w14:textId="1B368EC9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Clasificación normativa de infracciones del Código Nacional de Tránsito Terrestre (Ley 769 de 2002) y lineamientos del Sistema Estadístico Nacional para registros administrativos.</w:t>
            </w:r>
          </w:p>
        </w:tc>
      </w:tr>
      <w:tr w:rsidR="00400ABB" w:rsidRPr="00D7355F" w14:paraId="3B16CA50" w14:textId="77777777" w:rsidTr="00E2717B">
        <w:tc>
          <w:tcPr>
            <w:tcW w:w="2689" w:type="dxa"/>
            <w:shd w:val="clear" w:color="auto" w:fill="98B8EA"/>
            <w:vAlign w:val="center"/>
          </w:tcPr>
          <w:p w14:paraId="65E02DAA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Universo de estudio</w:t>
            </w:r>
          </w:p>
        </w:tc>
        <w:tc>
          <w:tcPr>
            <w:tcW w:w="6139" w:type="dxa"/>
          </w:tcPr>
          <w:p w14:paraId="6444B669" w14:textId="0232AD59" w:rsidR="00400ABB" w:rsidRPr="000538E6" w:rsidRDefault="00D7355F" w:rsidP="00D7355F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Fonts w:ascii="Arial" w:hAnsi="Arial" w:cs="Arial"/>
                <w:sz w:val="20"/>
                <w:szCs w:val="20"/>
              </w:rPr>
              <w:t>Todos los actores viales que cometen infracciones a las normas de tránsito y transporte en la ciudad de Bogotá.</w:t>
            </w:r>
          </w:p>
        </w:tc>
      </w:tr>
      <w:tr w:rsidR="00400ABB" w:rsidRPr="00D7355F" w14:paraId="39C4FC06" w14:textId="77777777" w:rsidTr="00E2717B">
        <w:tc>
          <w:tcPr>
            <w:tcW w:w="2689" w:type="dxa"/>
            <w:shd w:val="clear" w:color="auto" w:fill="98B8EA"/>
            <w:vAlign w:val="center"/>
          </w:tcPr>
          <w:p w14:paraId="745C35AD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Población objetivo</w:t>
            </w:r>
          </w:p>
        </w:tc>
        <w:tc>
          <w:tcPr>
            <w:tcW w:w="6139" w:type="dxa"/>
          </w:tcPr>
          <w:p w14:paraId="10842D27" w14:textId="3A0E55B7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Actores viales de la ciudad de Bogotá a quienes se les impone un comparendo por infracción a las normas de tránsito y transporte.</w:t>
            </w:r>
          </w:p>
        </w:tc>
      </w:tr>
      <w:tr w:rsidR="00400ABB" w:rsidRPr="00D7355F" w14:paraId="7A5458A4" w14:textId="77777777" w:rsidTr="00E2717B">
        <w:tc>
          <w:tcPr>
            <w:tcW w:w="2689" w:type="dxa"/>
            <w:shd w:val="clear" w:color="auto" w:fill="98B8EA"/>
            <w:vAlign w:val="center"/>
          </w:tcPr>
          <w:p w14:paraId="55053743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Unidades estadísticas</w:t>
            </w:r>
          </w:p>
        </w:tc>
        <w:tc>
          <w:tcPr>
            <w:tcW w:w="6139" w:type="dxa"/>
            <w:vAlign w:val="center"/>
          </w:tcPr>
          <w:p w14:paraId="6B335C47" w14:textId="77777777" w:rsidR="000538E6" w:rsidRDefault="000538E6" w:rsidP="000538E6">
            <w:pPr>
              <w:pStyle w:val="NormalWeb"/>
              <w:jc w:val="both"/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</w:pPr>
          </w:p>
          <w:p w14:paraId="560DA5F4" w14:textId="77777777" w:rsidR="000538E6" w:rsidRDefault="00D7355F" w:rsidP="000538E6">
            <w:pPr>
              <w:pStyle w:val="NormalWeb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Unidad de observación: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Comparendos impuestos a actores viales.</w:t>
            </w:r>
          </w:p>
          <w:p w14:paraId="701359C1" w14:textId="77777777" w:rsidR="000538E6" w:rsidRDefault="00D7355F" w:rsidP="000538E6">
            <w:pPr>
              <w:pStyle w:val="NormalWeb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Unidad de muestreo: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No aplica, al tratarse de un registro administrativo.</w:t>
            </w:r>
          </w:p>
          <w:p w14:paraId="0187C638" w14:textId="6C18020B" w:rsidR="00D7355F" w:rsidRPr="000538E6" w:rsidRDefault="00D7355F" w:rsidP="000538E6">
            <w:pPr>
              <w:pStyle w:val="NormalWeb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Unidad de análisis: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Comparendos y tipos de infracción registrados.</w:t>
            </w:r>
          </w:p>
          <w:p w14:paraId="7537D787" w14:textId="7FDC7B63" w:rsidR="00400ABB" w:rsidRPr="000538E6" w:rsidRDefault="00400ABB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</w:tc>
      </w:tr>
      <w:tr w:rsidR="00400ABB" w:rsidRPr="00D7355F" w14:paraId="7EF47314" w14:textId="77777777" w:rsidTr="00E2717B">
        <w:tc>
          <w:tcPr>
            <w:tcW w:w="2689" w:type="dxa"/>
            <w:shd w:val="clear" w:color="auto" w:fill="98B8EA"/>
            <w:vAlign w:val="center"/>
          </w:tcPr>
          <w:p w14:paraId="10D97C80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Marco (Censal o muestral)</w:t>
            </w:r>
          </w:p>
        </w:tc>
        <w:tc>
          <w:tcPr>
            <w:tcW w:w="6139" w:type="dxa"/>
          </w:tcPr>
          <w:p w14:paraId="0289E3CA" w14:textId="202BE0BB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5BEF3BEA" w14:textId="77777777" w:rsidTr="00E2717B">
        <w:tc>
          <w:tcPr>
            <w:tcW w:w="2689" w:type="dxa"/>
            <w:shd w:val="clear" w:color="auto" w:fill="98B8EA"/>
            <w:vAlign w:val="center"/>
          </w:tcPr>
          <w:p w14:paraId="02EFB70A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Fuentes</w:t>
            </w:r>
          </w:p>
        </w:tc>
        <w:tc>
          <w:tcPr>
            <w:tcW w:w="6139" w:type="dxa"/>
          </w:tcPr>
          <w:p w14:paraId="414DACE9" w14:textId="0ACA9212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Style w:val="Textoennegrita"/>
                <w:rFonts w:ascii="Arial" w:hAnsi="Arial" w:cs="Arial"/>
              </w:rPr>
              <w:t>Agentes de tránsito de la Secretaría Distrital de Movilidad:</w:t>
            </w:r>
            <w:r w:rsidRPr="000538E6">
              <w:rPr>
                <w:rFonts w:ascii="Arial" w:hAnsi="Arial" w:cs="Arial"/>
              </w:rPr>
              <w:t xml:space="preserve"> Funcionarios que </w:t>
            </w:r>
            <w:r w:rsidRPr="000538E6">
              <w:rPr>
                <w:rStyle w:val="Textoennegrita"/>
                <w:rFonts w:ascii="Arial" w:hAnsi="Arial" w:cs="Arial"/>
              </w:rPr>
              <w:t>capturan la información en campo</w:t>
            </w:r>
            <w:r w:rsidRPr="000538E6">
              <w:rPr>
                <w:rFonts w:ascii="Arial" w:hAnsi="Arial" w:cs="Arial"/>
              </w:rPr>
              <w:t xml:space="preserve"> durante la imposición del comparendo, constituyendo la fuente primaria del dato.</w:t>
            </w:r>
          </w:p>
        </w:tc>
      </w:tr>
      <w:tr w:rsidR="00400ABB" w:rsidRPr="00D7355F" w14:paraId="77B03E15" w14:textId="77777777" w:rsidTr="00E2717B">
        <w:tc>
          <w:tcPr>
            <w:tcW w:w="2689" w:type="dxa"/>
            <w:shd w:val="clear" w:color="auto" w:fill="98B8EA"/>
            <w:vAlign w:val="center"/>
          </w:tcPr>
          <w:p w14:paraId="03DA659D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Tamaño de muestra (si aplica)</w:t>
            </w:r>
          </w:p>
        </w:tc>
        <w:tc>
          <w:tcPr>
            <w:tcW w:w="6139" w:type="dxa"/>
            <w:vAlign w:val="center"/>
          </w:tcPr>
          <w:p w14:paraId="6C78F733" w14:textId="1A6D39F7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36413ADD" w14:textId="77777777" w:rsidTr="00E2717B">
        <w:tc>
          <w:tcPr>
            <w:tcW w:w="2689" w:type="dxa"/>
            <w:shd w:val="clear" w:color="auto" w:fill="98B8EA"/>
            <w:vAlign w:val="center"/>
          </w:tcPr>
          <w:p w14:paraId="3F4AB4D3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Diseño muestral (si aplica)</w:t>
            </w:r>
          </w:p>
        </w:tc>
        <w:tc>
          <w:tcPr>
            <w:tcW w:w="6139" w:type="dxa"/>
            <w:vAlign w:val="center"/>
          </w:tcPr>
          <w:p w14:paraId="3007CC9C" w14:textId="4B8EAC1A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2203A957" w14:textId="77777777" w:rsidTr="00E2717B">
        <w:tc>
          <w:tcPr>
            <w:tcW w:w="2689" w:type="dxa"/>
            <w:shd w:val="clear" w:color="auto" w:fill="98B8EA"/>
            <w:vAlign w:val="center"/>
          </w:tcPr>
          <w:p w14:paraId="7F7C00FB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Precisión (si aplica)</w:t>
            </w:r>
          </w:p>
        </w:tc>
        <w:tc>
          <w:tcPr>
            <w:tcW w:w="6139" w:type="dxa"/>
            <w:vAlign w:val="center"/>
          </w:tcPr>
          <w:p w14:paraId="533E8F13" w14:textId="673AC031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7BA4F20B" w14:textId="77777777" w:rsidTr="00E2717B">
        <w:tc>
          <w:tcPr>
            <w:tcW w:w="2689" w:type="dxa"/>
            <w:shd w:val="clear" w:color="auto" w:fill="98B8EA"/>
            <w:vAlign w:val="center"/>
          </w:tcPr>
          <w:p w14:paraId="0184357E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Mantenimiento de la muestra (si aplica)</w:t>
            </w:r>
          </w:p>
        </w:tc>
        <w:tc>
          <w:tcPr>
            <w:tcW w:w="6139" w:type="dxa"/>
            <w:vAlign w:val="center"/>
          </w:tcPr>
          <w:p w14:paraId="4804CFCE" w14:textId="20371482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No aplica</w:t>
            </w:r>
          </w:p>
        </w:tc>
      </w:tr>
      <w:tr w:rsidR="00400ABB" w:rsidRPr="00D7355F" w14:paraId="7487E87C" w14:textId="77777777" w:rsidTr="00E2717B">
        <w:tc>
          <w:tcPr>
            <w:tcW w:w="2689" w:type="dxa"/>
            <w:shd w:val="clear" w:color="auto" w:fill="98B8EA"/>
            <w:vAlign w:val="center"/>
          </w:tcPr>
          <w:p w14:paraId="01E67DFF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Cobertura geográfica</w:t>
            </w:r>
          </w:p>
        </w:tc>
        <w:tc>
          <w:tcPr>
            <w:tcW w:w="6139" w:type="dxa"/>
          </w:tcPr>
          <w:p w14:paraId="027C45A1" w14:textId="6B628665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Bogotá D.C.</w:t>
            </w:r>
          </w:p>
        </w:tc>
      </w:tr>
      <w:tr w:rsidR="00400ABB" w:rsidRPr="00D7355F" w14:paraId="65DF3189" w14:textId="77777777" w:rsidTr="00E2717B">
        <w:tc>
          <w:tcPr>
            <w:tcW w:w="2689" w:type="dxa"/>
            <w:shd w:val="clear" w:color="auto" w:fill="98B8EA"/>
            <w:vAlign w:val="center"/>
          </w:tcPr>
          <w:p w14:paraId="1CEEDA53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Periodo de referencia</w:t>
            </w:r>
          </w:p>
        </w:tc>
        <w:tc>
          <w:tcPr>
            <w:tcW w:w="6139" w:type="dxa"/>
          </w:tcPr>
          <w:p w14:paraId="123A691D" w14:textId="2B57DB04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Diario, con consolidaciones mensuales.</w:t>
            </w:r>
          </w:p>
        </w:tc>
      </w:tr>
      <w:tr w:rsidR="00400ABB" w:rsidRPr="00D7355F" w14:paraId="5262BA14" w14:textId="77777777" w:rsidTr="00E2717B">
        <w:tc>
          <w:tcPr>
            <w:tcW w:w="2689" w:type="dxa"/>
            <w:shd w:val="clear" w:color="auto" w:fill="98B8EA"/>
            <w:vAlign w:val="center"/>
          </w:tcPr>
          <w:p w14:paraId="3E7C30DB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Periodo y periodicidad de recolección</w:t>
            </w:r>
          </w:p>
        </w:tc>
        <w:tc>
          <w:tcPr>
            <w:tcW w:w="6139" w:type="dxa"/>
          </w:tcPr>
          <w:p w14:paraId="3D6B2477" w14:textId="4A83231D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>Recolección diaria de la información y consolidación mensual del registro.</w:t>
            </w:r>
          </w:p>
        </w:tc>
      </w:tr>
      <w:tr w:rsidR="00400ABB" w:rsidRPr="00D7355F" w14:paraId="2E91829F" w14:textId="77777777" w:rsidTr="00E2717B">
        <w:tc>
          <w:tcPr>
            <w:tcW w:w="2689" w:type="dxa"/>
            <w:shd w:val="clear" w:color="auto" w:fill="98B8EA"/>
            <w:vAlign w:val="center"/>
          </w:tcPr>
          <w:p w14:paraId="30896ABB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Método de recolección o acopio</w:t>
            </w:r>
          </w:p>
        </w:tc>
        <w:tc>
          <w:tcPr>
            <w:tcW w:w="6139" w:type="dxa"/>
          </w:tcPr>
          <w:p w14:paraId="22D05D21" w14:textId="2DD01F9A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hAnsi="Arial" w:cs="Arial"/>
              </w:rPr>
              <w:t xml:space="preserve">La información se recolecta mediante dispositivos móviles de imposición de comparendos (PDA – </w:t>
            </w:r>
            <w:proofErr w:type="spellStart"/>
            <w:r w:rsidRPr="000538E6">
              <w:rPr>
                <w:rFonts w:ascii="Arial" w:hAnsi="Arial" w:cs="Arial"/>
              </w:rPr>
              <w:t>comparendera</w:t>
            </w:r>
            <w:proofErr w:type="spellEnd"/>
            <w:r w:rsidRPr="000538E6">
              <w:rPr>
                <w:rFonts w:ascii="Arial" w:hAnsi="Arial" w:cs="Arial"/>
              </w:rPr>
              <w:t xml:space="preserve"> – CPIT), utilizados por los agentes de tránsito durante el ejercicio de control operativo.</w:t>
            </w:r>
          </w:p>
        </w:tc>
      </w:tr>
      <w:tr w:rsidR="00400ABB" w:rsidRPr="00D7355F" w14:paraId="51E3AD1C" w14:textId="77777777" w:rsidTr="00E2717B">
        <w:tc>
          <w:tcPr>
            <w:tcW w:w="2689" w:type="dxa"/>
            <w:shd w:val="clear" w:color="auto" w:fill="98B8EA"/>
            <w:vAlign w:val="center"/>
          </w:tcPr>
          <w:p w14:paraId="1F4CDA1E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Desagregación de resultados</w:t>
            </w:r>
          </w:p>
        </w:tc>
        <w:tc>
          <w:tcPr>
            <w:tcW w:w="6139" w:type="dxa"/>
          </w:tcPr>
          <w:p w14:paraId="7C94A667" w14:textId="1F642100" w:rsidR="00D7355F" w:rsidRPr="000538E6" w:rsidRDefault="00D7355F" w:rsidP="00D7355F">
            <w:pPr>
              <w:pStyle w:val="NormalWeb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Desagregación geográfica: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Ciudad, localidad.</w:t>
            </w:r>
          </w:p>
          <w:p w14:paraId="7496A277" w14:textId="274CAD78" w:rsidR="00D7355F" w:rsidRPr="000538E6" w:rsidRDefault="00D7355F" w:rsidP="00D7355F">
            <w:pPr>
              <w:pStyle w:val="NormalWeb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lastRenderedPageBreak/>
              <w:t>Desagregación temática: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Tipo de infracción, actor vial, clase de vehículo, tipo de servicio.</w:t>
            </w:r>
          </w:p>
        </w:tc>
      </w:tr>
      <w:tr w:rsidR="00400ABB" w:rsidRPr="00D7355F" w14:paraId="36EDAA7C" w14:textId="77777777" w:rsidTr="00E2717B">
        <w:tc>
          <w:tcPr>
            <w:tcW w:w="2689" w:type="dxa"/>
            <w:shd w:val="clear" w:color="auto" w:fill="98B8EA"/>
            <w:vAlign w:val="center"/>
          </w:tcPr>
          <w:p w14:paraId="2674EB02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lastRenderedPageBreak/>
              <w:t>Frecuencia de entrega de resultados</w:t>
            </w:r>
          </w:p>
        </w:tc>
        <w:tc>
          <w:tcPr>
            <w:tcW w:w="6139" w:type="dxa"/>
          </w:tcPr>
          <w:p w14:paraId="6E686B6A" w14:textId="69CA8F33" w:rsidR="00400ABB" w:rsidRPr="000538E6" w:rsidRDefault="00D7355F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Mensual</w:t>
            </w:r>
          </w:p>
        </w:tc>
      </w:tr>
      <w:tr w:rsidR="00400ABB" w:rsidRPr="00D7355F" w14:paraId="3FA73219" w14:textId="77777777" w:rsidTr="00E2717B">
        <w:tc>
          <w:tcPr>
            <w:tcW w:w="2689" w:type="dxa"/>
            <w:shd w:val="clear" w:color="auto" w:fill="98B8EA"/>
            <w:vAlign w:val="center"/>
          </w:tcPr>
          <w:p w14:paraId="56B21CF4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Periodos disponibles para los resultados</w:t>
            </w:r>
          </w:p>
        </w:tc>
        <w:tc>
          <w:tcPr>
            <w:tcW w:w="6139" w:type="dxa"/>
          </w:tcPr>
          <w:p w14:paraId="79D965F9" w14:textId="1AC34B92" w:rsidR="00D7355F" w:rsidRPr="000538E6" w:rsidRDefault="00D7355F" w:rsidP="00D7355F">
            <w:pPr>
              <w:pStyle w:val="NormalWeb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Macrodatos: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Series históricas consolidadas de comparendos desde el inicio del registro administrativo.</w:t>
            </w:r>
          </w:p>
          <w:p w14:paraId="2429EEC8" w14:textId="5136EEDD" w:rsidR="00D7355F" w:rsidRPr="000538E6" w:rsidRDefault="00D7355F" w:rsidP="00D7355F">
            <w:pPr>
              <w:pStyle w:val="NormalWeb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8E6">
              <w:rPr>
                <w:rStyle w:val="Textoennegrita"/>
                <w:rFonts w:ascii="Arial" w:eastAsiaTheme="majorEastAsia" w:hAnsi="Arial" w:cs="Arial"/>
                <w:sz w:val="20"/>
                <w:szCs w:val="20"/>
              </w:rPr>
              <w:t>Microdatos anonimizados:</w:t>
            </w:r>
            <w:r w:rsidRPr="000538E6">
              <w:rPr>
                <w:rFonts w:ascii="Arial" w:hAnsi="Arial" w:cs="Arial"/>
                <w:sz w:val="20"/>
                <w:szCs w:val="20"/>
              </w:rPr>
              <w:t xml:space="preserve"> Bases anonimizadas publicadas para consulta y análisis, según disponibilidad institucional.</w:t>
            </w:r>
          </w:p>
          <w:p w14:paraId="49077F30" w14:textId="2E11BF01" w:rsidR="00400ABB" w:rsidRPr="000538E6" w:rsidRDefault="00400ABB" w:rsidP="00D7355F">
            <w:pPr>
              <w:ind w:right="170"/>
              <w:jc w:val="both"/>
              <w:rPr>
                <w:rFonts w:ascii="Arial" w:eastAsia="Arial" w:hAnsi="Arial" w:cs="Arial"/>
              </w:rPr>
            </w:pPr>
          </w:p>
        </w:tc>
      </w:tr>
      <w:tr w:rsidR="00400ABB" w:rsidRPr="00D7355F" w14:paraId="51519554" w14:textId="77777777" w:rsidTr="00E2717B">
        <w:trPr>
          <w:trHeight w:val="695"/>
        </w:trPr>
        <w:tc>
          <w:tcPr>
            <w:tcW w:w="2689" w:type="dxa"/>
            <w:shd w:val="clear" w:color="auto" w:fill="98B8EA"/>
            <w:vAlign w:val="center"/>
          </w:tcPr>
          <w:p w14:paraId="0C39C4DF" w14:textId="77777777" w:rsidR="00400ABB" w:rsidRPr="00D7355F" w:rsidRDefault="00000000">
            <w:pPr>
              <w:spacing w:line="276" w:lineRule="auto"/>
              <w:ind w:right="170"/>
              <w:rPr>
                <w:rFonts w:ascii="Arial" w:eastAsia="Arial" w:hAnsi="Arial" w:cs="Arial"/>
                <w:sz w:val="22"/>
                <w:szCs w:val="22"/>
              </w:rPr>
            </w:pPr>
            <w:r w:rsidRPr="00D7355F">
              <w:rPr>
                <w:rFonts w:ascii="Arial" w:eastAsia="Arial" w:hAnsi="Arial" w:cs="Arial"/>
                <w:sz w:val="22"/>
                <w:szCs w:val="22"/>
              </w:rPr>
              <w:t>Medios de difusión y acceso</w:t>
            </w:r>
          </w:p>
        </w:tc>
        <w:tc>
          <w:tcPr>
            <w:tcW w:w="6139" w:type="dxa"/>
          </w:tcPr>
          <w:p w14:paraId="609D3C14" w14:textId="07F07075" w:rsidR="00D7355F" w:rsidRPr="000538E6" w:rsidRDefault="00D7355F" w:rsidP="00D7355F">
            <w:pPr>
              <w:pStyle w:val="Prrafodelista"/>
              <w:numPr>
                <w:ilvl w:val="0"/>
                <w:numId w:val="9"/>
              </w:num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El Observatorio de Movilidad, al cual se puede acceder a través de https://observatorio.movilidadbogota.gov.co/: Tableros estadísticos: cantidad, tipo de infracción, ubicación, clase de vehículo, fecha y análisis del comportamiento.</w:t>
            </w:r>
          </w:p>
          <w:p w14:paraId="0B16BD16" w14:textId="2E16F75F" w:rsidR="00D7355F" w:rsidRPr="000538E6" w:rsidRDefault="00D7355F" w:rsidP="00D7355F">
            <w:pPr>
              <w:pStyle w:val="Prrafodelista"/>
              <w:numPr>
                <w:ilvl w:val="0"/>
                <w:numId w:val="9"/>
              </w:num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El Sistema Integrado de Información sobre Movilidad Urbana Regional (SIMUR)</w:t>
            </w:r>
          </w:p>
          <w:p w14:paraId="0260A51A" w14:textId="77777777" w:rsidR="00D7355F" w:rsidRPr="000538E6" w:rsidRDefault="00D7355F" w:rsidP="00D7355F">
            <w:pPr>
              <w:pStyle w:val="Prrafodelista"/>
              <w:ind w:left="360"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 xml:space="preserve">https://simur.gov.co/ : Listado de datos e indicadores en datos abiertos (posible acceso a </w:t>
            </w:r>
            <w:proofErr w:type="spellStart"/>
            <w:r w:rsidRPr="000538E6">
              <w:rPr>
                <w:rFonts w:ascii="Arial" w:eastAsia="Arial" w:hAnsi="Arial" w:cs="Arial"/>
              </w:rPr>
              <w:t>datasets</w:t>
            </w:r>
            <w:proofErr w:type="spellEnd"/>
            <w:r w:rsidRPr="000538E6">
              <w:rPr>
                <w:rFonts w:ascii="Arial" w:eastAsia="Arial" w:hAnsi="Arial" w:cs="Arial"/>
              </w:rPr>
              <w:t xml:space="preserve"> relacionados por interoperabilidad).</w:t>
            </w:r>
          </w:p>
          <w:p w14:paraId="50AA7B16" w14:textId="421CBA33" w:rsidR="00D7355F" w:rsidRPr="000538E6" w:rsidRDefault="00D7355F" w:rsidP="00D7355F">
            <w:pPr>
              <w:pStyle w:val="Prrafodelista"/>
              <w:numPr>
                <w:ilvl w:val="0"/>
                <w:numId w:val="9"/>
              </w:numPr>
              <w:ind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>Datos Abiertos</w:t>
            </w:r>
          </w:p>
          <w:p w14:paraId="1F42660C" w14:textId="3740CE04" w:rsidR="00400ABB" w:rsidRPr="000538E6" w:rsidRDefault="00D7355F" w:rsidP="00D7355F">
            <w:pPr>
              <w:pStyle w:val="Prrafodelista"/>
              <w:ind w:left="360" w:right="170"/>
              <w:jc w:val="both"/>
              <w:rPr>
                <w:rFonts w:ascii="Arial" w:eastAsia="Arial" w:hAnsi="Arial" w:cs="Arial"/>
              </w:rPr>
            </w:pPr>
            <w:r w:rsidRPr="000538E6">
              <w:rPr>
                <w:rFonts w:ascii="Arial" w:eastAsia="Arial" w:hAnsi="Arial" w:cs="Arial"/>
              </w:rPr>
              <w:t xml:space="preserve">https://datos.movilidadbogota.gov.co/ : </w:t>
            </w:r>
            <w:proofErr w:type="spellStart"/>
            <w:r w:rsidRPr="000538E6">
              <w:rPr>
                <w:rFonts w:ascii="Arial" w:eastAsia="Arial" w:hAnsi="Arial" w:cs="Arial"/>
              </w:rPr>
              <w:t>Datasets</w:t>
            </w:r>
            <w:proofErr w:type="spellEnd"/>
            <w:r w:rsidRPr="000538E6">
              <w:rPr>
                <w:rFonts w:ascii="Arial" w:eastAsia="Arial" w:hAnsi="Arial" w:cs="Arial"/>
              </w:rPr>
              <w:t xml:space="preserve"> descargables con comparendos por año y por detección electrónica (incluye códigos, fechas, ubicación y otras variables asociadas).</w:t>
            </w:r>
          </w:p>
        </w:tc>
      </w:tr>
    </w:tbl>
    <w:p w14:paraId="41DA8F7B" w14:textId="5C790944" w:rsidR="00400ABB" w:rsidRDefault="00000000">
      <w:pPr>
        <w:spacing w:line="20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Fuente: </w:t>
      </w:r>
      <w:r w:rsidR="000538E6"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laboración propia con base a la Guía para la elaboración de la ficha metodológica de las operaciones estadísticas (DANE, 2020)</w:t>
      </w:r>
    </w:p>
    <w:p w14:paraId="78BF44F6" w14:textId="77777777" w:rsidR="00400ABB" w:rsidRDefault="00400ABB">
      <w:pPr>
        <w:spacing w:before="6" w:line="100" w:lineRule="auto"/>
        <w:rPr>
          <w:rFonts w:ascii="Arial" w:eastAsia="Arial" w:hAnsi="Arial" w:cs="Arial"/>
          <w:sz w:val="11"/>
          <w:szCs w:val="11"/>
        </w:rPr>
      </w:pPr>
    </w:p>
    <w:p w14:paraId="5CC5850E" w14:textId="77777777" w:rsidR="00400ABB" w:rsidRDefault="00400ABB">
      <w:pPr>
        <w:spacing w:line="200" w:lineRule="auto"/>
        <w:rPr>
          <w:rFonts w:ascii="Arial" w:eastAsia="Arial" w:hAnsi="Arial" w:cs="Arial"/>
        </w:rPr>
      </w:pPr>
    </w:p>
    <w:p w14:paraId="208E5550" w14:textId="77777777" w:rsidR="00400ABB" w:rsidRDefault="00400ABB">
      <w:pPr>
        <w:spacing w:line="200" w:lineRule="auto"/>
        <w:rPr>
          <w:rFonts w:ascii="Arial" w:eastAsia="Arial" w:hAnsi="Arial" w:cs="Arial"/>
        </w:rPr>
      </w:pPr>
    </w:p>
    <w:p w14:paraId="0F6B8EC5" w14:textId="77777777" w:rsidR="00400ABB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Referencias bibliográficas</w:t>
      </w:r>
    </w:p>
    <w:p w14:paraId="2C50D197" w14:textId="77777777" w:rsidR="00400ABB" w:rsidRDefault="00400ABB">
      <w:pPr>
        <w:tabs>
          <w:tab w:val="left" w:pos="1340"/>
        </w:tabs>
        <w:spacing w:before="35" w:line="276" w:lineRule="auto"/>
        <w:ind w:right="162"/>
        <w:jc w:val="both"/>
        <w:rPr>
          <w:rFonts w:ascii="Arial" w:eastAsia="Arial" w:hAnsi="Arial" w:cs="Arial"/>
        </w:rPr>
      </w:pPr>
    </w:p>
    <w:p w14:paraId="672E25D6" w14:textId="77777777" w:rsidR="000538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35" w:line="276" w:lineRule="auto"/>
        <w:ind w:right="1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Departamento Administrativo Nacional de Estadística. (2020). Guía para la elaboración de la ficha metodológica de las operaciones estadísticas. [en línea], disponible en</w:t>
      </w:r>
    </w:p>
    <w:p w14:paraId="33856646" w14:textId="02D3D2A0" w:rsidR="00400ABB" w:rsidRDefault="000538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before="35" w:line="276" w:lineRule="auto"/>
        <w:ind w:right="162"/>
        <w:jc w:val="both"/>
        <w:rPr>
          <w:rFonts w:ascii="Arial" w:eastAsia="Arial" w:hAnsi="Arial" w:cs="Arial"/>
          <w:color w:val="000000"/>
        </w:rPr>
      </w:pPr>
      <w:hyperlink r:id="rId8" w:history="1">
        <w:r w:rsidRPr="0088101F">
          <w:rPr>
            <w:rStyle w:val="Hipervnculo"/>
            <w:rFonts w:ascii="Arial" w:eastAsia="Arial" w:hAnsi="Arial" w:cs="Arial"/>
          </w:rPr>
          <w:t>https://www.sen.gov.co/files/sen/lineamientos/Gu%C3%ADa_Ficha_metodol%C3%B3gica.pdf</w:t>
        </w:r>
      </w:hyperlink>
    </w:p>
    <w:sectPr w:rsidR="00400ABB">
      <w:headerReference w:type="default" r:id="rId9"/>
      <w:footerReference w:type="default" r:id="rId10"/>
      <w:pgSz w:w="12240" w:h="15840"/>
      <w:pgMar w:top="1987" w:right="1699" w:bottom="1987" w:left="1699" w:header="0" w:footer="1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15502" w14:textId="77777777" w:rsidR="00FF0934" w:rsidRDefault="00FF0934">
      <w:r>
        <w:separator/>
      </w:r>
    </w:p>
  </w:endnote>
  <w:endnote w:type="continuationSeparator" w:id="0">
    <w:p w14:paraId="08624B23" w14:textId="77777777" w:rsidR="00FF0934" w:rsidRDefault="00FF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AC0D8E-81CA-40F2-9F26-D346F9D2A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71200E-245A-4B3E-B13C-D8561D94AAEB}"/>
    <w:embedBold r:id="rId3" w:fontKey="{FEF403A7-B6F3-48CB-A177-9F3A32815DEC}"/>
    <w:embedBoldItalic r:id="rId4" w:fontKey="{536B0114-7BB2-41E3-9512-89388C1D2B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06AB2CF-0C79-4327-9D50-27CC06402ABD}"/>
    <w:embedBold r:id="rId6" w:fontKey="{090EFB18-80FC-4609-8CBA-56834493D9AA}"/>
    <w:embedItalic r:id="rId7" w:fontKey="{7C51720E-1F50-4ADF-AF0E-DD140BF5CD30}"/>
    <w:embedBoldItalic r:id="rId8" w:fontKey="{6F04597F-ACF4-4980-AD41-63FAD4F282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1C614ED-59D8-4464-B602-64642833942B}"/>
    <w:embedItalic r:id="rId10" w:fontKey="{ED468F8F-949F-4BB9-94F9-6BC3ED8BE3A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4B5F64E8-55CD-40AA-881C-B1149483A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5D4CE" w14:textId="77777777" w:rsidR="00400ABB" w:rsidRDefault="00400ABB">
    <w:pPr>
      <w:spacing w:line="20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C4850" w14:textId="77777777" w:rsidR="00FF0934" w:rsidRDefault="00FF0934">
      <w:r>
        <w:separator/>
      </w:r>
    </w:p>
  </w:footnote>
  <w:footnote w:type="continuationSeparator" w:id="0">
    <w:p w14:paraId="7A7B1A0E" w14:textId="77777777" w:rsidR="00FF0934" w:rsidRDefault="00FF0934">
      <w:r>
        <w:continuationSeparator/>
      </w:r>
    </w:p>
  </w:footnote>
  <w:footnote w:id="1">
    <w:p w14:paraId="7D8C1404" w14:textId="77777777" w:rsidR="00400AB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Los conceptos relacionados pueden ser consultados a través de</w:t>
      </w:r>
    </w:p>
    <w:p w14:paraId="01E8E634" w14:textId="77777777" w:rsidR="00400AB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https://www.dane.gov.co/index.php/sistema-estadistico-nacional-sen/normas-y-estandares/estandarizacion-y-armonizacion-de-conceptos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DEDE3" w14:textId="77777777" w:rsidR="00400ABB" w:rsidRDefault="00400ABB"/>
  <w:p w14:paraId="6E5BC9F8" w14:textId="77777777" w:rsidR="00400ABB" w:rsidRDefault="00400ABB"/>
  <w:p w14:paraId="52602B40" w14:textId="77777777" w:rsidR="00400ABB" w:rsidRDefault="00400ABB"/>
  <w:tbl>
    <w:tblPr>
      <w:tblStyle w:val="a0"/>
      <w:tblW w:w="8818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009"/>
      <w:gridCol w:w="4912"/>
      <w:gridCol w:w="1897"/>
    </w:tblGrid>
    <w:tr w:rsidR="00400ABB" w14:paraId="2EFD9992" w14:textId="77777777">
      <w:trPr>
        <w:cantSplit/>
        <w:trHeight w:val="630"/>
        <w:jc w:val="center"/>
      </w:trPr>
      <w:tc>
        <w:tcPr>
          <w:tcW w:w="2009" w:type="dxa"/>
          <w:vMerge w:val="restart"/>
          <w:vAlign w:val="center"/>
        </w:tcPr>
        <w:p w14:paraId="4E682644" w14:textId="77777777" w:rsidR="00400ABB" w:rsidRDefault="00000000">
          <w:pPr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13B2A1BB" wp14:editId="46F34432">
                <wp:extent cx="1000125" cy="885825"/>
                <wp:effectExtent l="0" t="0" r="0" b="0"/>
                <wp:docPr id="2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9" w:type="dxa"/>
          <w:gridSpan w:val="2"/>
          <w:vAlign w:val="center"/>
        </w:tcPr>
        <w:p w14:paraId="0C90EDC0" w14:textId="77777777" w:rsidR="00400ABB" w:rsidRDefault="00000000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SISTEMA INTEGRADO DE GESTIÓN DISTRITAL BAJO EL ESTÁNDAR MIPG</w:t>
          </w:r>
        </w:p>
      </w:tc>
    </w:tr>
    <w:tr w:rsidR="00400ABB" w14:paraId="5C631A9A" w14:textId="77777777">
      <w:trPr>
        <w:cantSplit/>
        <w:trHeight w:val="546"/>
        <w:jc w:val="center"/>
      </w:trPr>
      <w:tc>
        <w:tcPr>
          <w:tcW w:w="2009" w:type="dxa"/>
          <w:vMerge/>
          <w:vAlign w:val="center"/>
        </w:tcPr>
        <w:p w14:paraId="51F94011" w14:textId="77777777" w:rsidR="00400ABB" w:rsidRDefault="00400AB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</w:rPr>
          </w:pPr>
        </w:p>
      </w:tc>
      <w:tc>
        <w:tcPr>
          <w:tcW w:w="6809" w:type="dxa"/>
          <w:gridSpan w:val="2"/>
          <w:vAlign w:val="center"/>
        </w:tcPr>
        <w:p w14:paraId="621BB7B2" w14:textId="2B7792A9" w:rsidR="00400ABB" w:rsidRDefault="00F15528">
          <w:pPr>
            <w:tabs>
              <w:tab w:val="left" w:pos="111"/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 w:rsidRPr="00F15528">
            <w:rPr>
              <w:rFonts w:ascii="Arial" w:eastAsia="Arial" w:hAnsi="Arial" w:cs="Arial"/>
              <w:b/>
              <w:color w:val="000000"/>
            </w:rPr>
            <w:t>PROCESO DE INTELIGENCIA PARA LA MOVILIDAD</w:t>
          </w:r>
        </w:p>
      </w:tc>
    </w:tr>
    <w:tr w:rsidR="00400ABB" w14:paraId="1778FF0D" w14:textId="77777777">
      <w:trPr>
        <w:cantSplit/>
        <w:trHeight w:val="630"/>
        <w:jc w:val="center"/>
      </w:trPr>
      <w:tc>
        <w:tcPr>
          <w:tcW w:w="2009" w:type="dxa"/>
          <w:vMerge/>
          <w:vAlign w:val="center"/>
        </w:tcPr>
        <w:p w14:paraId="61007836" w14:textId="77777777" w:rsidR="00400ABB" w:rsidRDefault="00400AB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</w:rPr>
          </w:pPr>
        </w:p>
      </w:tc>
      <w:tc>
        <w:tcPr>
          <w:tcW w:w="6809" w:type="dxa"/>
          <w:gridSpan w:val="2"/>
          <w:vAlign w:val="center"/>
        </w:tcPr>
        <w:p w14:paraId="6A108987" w14:textId="77777777" w:rsidR="00400ABB" w:rsidRDefault="00000000">
          <w:pPr>
            <w:tabs>
              <w:tab w:val="left" w:pos="111"/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FICHA METODOLÓGICA PARA LA DOCUMENTACIÓN DE OPERACIONES ESTADÍSTICAS O REGISTROS ADMINISTRATIVOS</w:t>
          </w:r>
        </w:p>
      </w:tc>
    </w:tr>
    <w:tr w:rsidR="00400ABB" w14:paraId="1E89653B" w14:textId="77777777">
      <w:trPr>
        <w:cantSplit/>
        <w:trHeight w:val="291"/>
        <w:jc w:val="center"/>
      </w:trPr>
      <w:tc>
        <w:tcPr>
          <w:tcW w:w="2009" w:type="dxa"/>
          <w:vMerge/>
          <w:vAlign w:val="center"/>
        </w:tcPr>
        <w:p w14:paraId="17DD44A1" w14:textId="77777777" w:rsidR="00400ABB" w:rsidRDefault="00400AB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</w:rPr>
          </w:pPr>
        </w:p>
      </w:tc>
      <w:tc>
        <w:tcPr>
          <w:tcW w:w="4912" w:type="dxa"/>
          <w:vAlign w:val="center"/>
        </w:tcPr>
        <w:p w14:paraId="1E9EA317" w14:textId="2977E724" w:rsidR="00400ABB" w:rsidRDefault="00000000">
          <w:pPr>
            <w:tabs>
              <w:tab w:val="left" w:pos="111"/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Código: PE04-</w:t>
          </w:r>
          <w:r w:rsidRPr="00B66455">
            <w:rPr>
              <w:rFonts w:ascii="Arial" w:eastAsia="Arial" w:hAnsi="Arial" w:cs="Arial"/>
              <w:b/>
            </w:rPr>
            <w:t>PR07-F</w:t>
          </w:r>
          <w:r w:rsidR="00B66455" w:rsidRPr="00B66455">
            <w:rPr>
              <w:rFonts w:ascii="Arial" w:eastAsia="Arial" w:hAnsi="Arial" w:cs="Arial"/>
              <w:b/>
            </w:rPr>
            <w:t>02</w:t>
          </w:r>
        </w:p>
      </w:tc>
      <w:tc>
        <w:tcPr>
          <w:tcW w:w="1897" w:type="dxa"/>
          <w:vAlign w:val="center"/>
        </w:tcPr>
        <w:p w14:paraId="46E37196" w14:textId="77777777" w:rsidR="00400ABB" w:rsidRDefault="00000000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</w:rPr>
            <w:t>Versión: 2</w:t>
          </w:r>
          <w:r>
            <w:rPr>
              <w:rFonts w:ascii="Arial" w:eastAsia="Arial" w:hAnsi="Arial" w:cs="Arial"/>
              <w:b/>
              <w:color w:val="000000"/>
            </w:rPr>
            <w:t>.0</w:t>
          </w:r>
        </w:p>
      </w:tc>
    </w:tr>
  </w:tbl>
  <w:p w14:paraId="17FD44D4" w14:textId="77777777" w:rsidR="00400ABB" w:rsidRDefault="00400A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62C3F"/>
    <w:multiLevelType w:val="hybridMultilevel"/>
    <w:tmpl w:val="C0E48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C5231"/>
    <w:multiLevelType w:val="hybridMultilevel"/>
    <w:tmpl w:val="E332980A"/>
    <w:lvl w:ilvl="0" w:tplc="D73A71E4">
      <w:start w:val="1"/>
      <w:numFmt w:val="bullet"/>
      <w:lvlText w:val=""/>
      <w:lvlJc w:val="left"/>
      <w:pPr>
        <w:ind w:left="340" w:firstLine="2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B02FC"/>
    <w:multiLevelType w:val="hybridMultilevel"/>
    <w:tmpl w:val="617EAB38"/>
    <w:lvl w:ilvl="0" w:tplc="63727262">
      <w:numFmt w:val="bullet"/>
      <w:lvlText w:val="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87E58"/>
    <w:multiLevelType w:val="hybridMultilevel"/>
    <w:tmpl w:val="57A82F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97AE0"/>
    <w:multiLevelType w:val="hybridMultilevel"/>
    <w:tmpl w:val="686EDE40"/>
    <w:lvl w:ilvl="0" w:tplc="D73A71E4">
      <w:start w:val="1"/>
      <w:numFmt w:val="bullet"/>
      <w:lvlText w:val=""/>
      <w:lvlJc w:val="left"/>
      <w:pPr>
        <w:ind w:left="340" w:firstLine="2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70145"/>
    <w:multiLevelType w:val="multilevel"/>
    <w:tmpl w:val="D268927A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902C51"/>
    <w:multiLevelType w:val="hybridMultilevel"/>
    <w:tmpl w:val="737A92E2"/>
    <w:lvl w:ilvl="0" w:tplc="63727262">
      <w:numFmt w:val="bullet"/>
      <w:lvlText w:val="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F7C5F"/>
    <w:multiLevelType w:val="hybridMultilevel"/>
    <w:tmpl w:val="35EE5E60"/>
    <w:lvl w:ilvl="0" w:tplc="D73A71E4">
      <w:start w:val="1"/>
      <w:numFmt w:val="bullet"/>
      <w:lvlText w:val=""/>
      <w:lvlJc w:val="left"/>
      <w:pPr>
        <w:ind w:left="340" w:firstLine="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B75CA"/>
    <w:multiLevelType w:val="hybridMultilevel"/>
    <w:tmpl w:val="44525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E0F3B"/>
    <w:multiLevelType w:val="hybridMultilevel"/>
    <w:tmpl w:val="FC305DD0"/>
    <w:lvl w:ilvl="0" w:tplc="D73A71E4">
      <w:start w:val="1"/>
      <w:numFmt w:val="bullet"/>
      <w:lvlText w:val=""/>
      <w:lvlJc w:val="left"/>
      <w:pPr>
        <w:ind w:left="340" w:firstLine="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554EE"/>
    <w:multiLevelType w:val="hybridMultilevel"/>
    <w:tmpl w:val="D2301CCE"/>
    <w:lvl w:ilvl="0" w:tplc="D73A71E4">
      <w:start w:val="1"/>
      <w:numFmt w:val="bullet"/>
      <w:lvlText w:val=""/>
      <w:lvlJc w:val="left"/>
      <w:pPr>
        <w:ind w:left="340" w:firstLine="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154690">
    <w:abstractNumId w:val="5"/>
  </w:num>
  <w:num w:numId="2" w16cid:durableId="1798329465">
    <w:abstractNumId w:val="8"/>
  </w:num>
  <w:num w:numId="3" w16cid:durableId="1593975954">
    <w:abstractNumId w:val="6"/>
  </w:num>
  <w:num w:numId="4" w16cid:durableId="1940873863">
    <w:abstractNumId w:val="2"/>
  </w:num>
  <w:num w:numId="5" w16cid:durableId="390274015">
    <w:abstractNumId w:val="0"/>
  </w:num>
  <w:num w:numId="6" w16cid:durableId="778917406">
    <w:abstractNumId w:val="7"/>
  </w:num>
  <w:num w:numId="7" w16cid:durableId="1377007747">
    <w:abstractNumId w:val="3"/>
  </w:num>
  <w:num w:numId="8" w16cid:durableId="837312204">
    <w:abstractNumId w:val="10"/>
  </w:num>
  <w:num w:numId="9" w16cid:durableId="1452168350">
    <w:abstractNumId w:val="9"/>
  </w:num>
  <w:num w:numId="10" w16cid:durableId="385103942">
    <w:abstractNumId w:val="4"/>
  </w:num>
  <w:num w:numId="11" w16cid:durableId="62526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BB"/>
    <w:rsid w:val="000538E6"/>
    <w:rsid w:val="001F5C4A"/>
    <w:rsid w:val="00330864"/>
    <w:rsid w:val="00400ABB"/>
    <w:rsid w:val="005A652C"/>
    <w:rsid w:val="005C0737"/>
    <w:rsid w:val="007D267F"/>
    <w:rsid w:val="007F7F9D"/>
    <w:rsid w:val="00B66455"/>
    <w:rsid w:val="00BC19AA"/>
    <w:rsid w:val="00C26E9A"/>
    <w:rsid w:val="00D11923"/>
    <w:rsid w:val="00D13040"/>
    <w:rsid w:val="00D7355F"/>
    <w:rsid w:val="00E2717B"/>
    <w:rsid w:val="00EA1A18"/>
    <w:rsid w:val="00F15528"/>
    <w:rsid w:val="00F62060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07E4"/>
  <w15:docId w15:val="{E32E317E-F581-463A-8E6E-75257901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3F1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647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47CF"/>
  </w:style>
  <w:style w:type="paragraph" w:styleId="Piedepgina">
    <w:name w:val="footer"/>
    <w:basedOn w:val="Normal"/>
    <w:link w:val="PiedepginaCar"/>
    <w:uiPriority w:val="99"/>
    <w:unhideWhenUsed/>
    <w:rsid w:val="00D647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7CF"/>
  </w:style>
  <w:style w:type="paragraph" w:styleId="Textonotapie">
    <w:name w:val="footnote text"/>
    <w:basedOn w:val="Normal"/>
    <w:link w:val="TextonotapieCar"/>
    <w:uiPriority w:val="99"/>
    <w:semiHidden/>
    <w:unhideWhenUsed/>
    <w:rsid w:val="007826BB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826BB"/>
  </w:style>
  <w:style w:type="character" w:styleId="Refdenotaalpie">
    <w:name w:val="footnote reference"/>
    <w:basedOn w:val="Fuentedeprrafopredeter"/>
    <w:uiPriority w:val="99"/>
    <w:semiHidden/>
    <w:unhideWhenUsed/>
    <w:rsid w:val="007826BB"/>
    <w:rPr>
      <w:vertAlign w:val="superscript"/>
    </w:rPr>
  </w:style>
  <w:style w:type="paragraph" w:styleId="Prrafodelista">
    <w:name w:val="List Paragraph"/>
    <w:basedOn w:val="Normal"/>
    <w:uiPriority w:val="34"/>
    <w:qFormat/>
    <w:rsid w:val="00FE0C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E0C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0C2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D13040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relative">
    <w:name w:val="relative"/>
    <w:basedOn w:val="Fuentedeprrafopredeter"/>
    <w:rsid w:val="00D13040"/>
  </w:style>
  <w:style w:type="character" w:styleId="Textoennegrita">
    <w:name w:val="Strong"/>
    <w:basedOn w:val="Fuentedeprrafopredeter"/>
    <w:uiPriority w:val="22"/>
    <w:qFormat/>
    <w:rsid w:val="00D735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.gov.co/files/sen/lineamientos/Gu%C3%ADa_Ficha_metodol%C3%B3gic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5nmIwXBJfNxAk7TPupNCNzBOA==">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1580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HERNANDEZ TORO</cp:lastModifiedBy>
  <cp:revision>4</cp:revision>
  <dcterms:created xsi:type="dcterms:W3CDTF">2025-12-29T18:04:00Z</dcterms:created>
  <dcterms:modified xsi:type="dcterms:W3CDTF">2025-12-30T16:20:00Z</dcterms:modified>
</cp:coreProperties>
</file>